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CE7631" w:rsidRDefault="0046491C" w:rsidP="00E922BD">
      <w:pPr>
        <w:spacing w:after="0" w:line="360" w:lineRule="auto"/>
        <w:jc w:val="both"/>
        <w:rPr>
          <w:rFonts w:ascii="Palatino Linotype" w:hAnsi="Palatino Linotype" w:cs="Arial"/>
          <w:sz w:val="24"/>
          <w:szCs w:val="24"/>
        </w:rPr>
      </w:pPr>
      <w:r w:rsidRPr="00CE7631">
        <w:rPr>
          <w:rFonts w:ascii="Palatino Linotype" w:hAnsi="Palatino Linotype" w:cs="Arial"/>
          <w:b/>
          <w:sz w:val="24"/>
          <w:szCs w:val="24"/>
        </w:rPr>
        <w:t>VOTO PARTICULAR</w:t>
      </w:r>
      <w:r w:rsidR="00476367">
        <w:rPr>
          <w:rFonts w:ascii="Palatino Linotype" w:hAnsi="Palatino Linotype" w:cs="Arial"/>
          <w:b/>
          <w:sz w:val="24"/>
          <w:szCs w:val="24"/>
        </w:rPr>
        <w:t xml:space="preserve"> CONCURRENTE QUE FORMULAN LOS COMISIONADOS JOSÉ GUADALUPE LUNA HERNÁNDEZ, LUIS GUSTAVO PARRA NORIEGA </w:t>
      </w:r>
      <w:r w:rsidR="000D2E94">
        <w:rPr>
          <w:rFonts w:ascii="Palatino Linotype" w:hAnsi="Palatino Linotype" w:cs="Arial"/>
          <w:b/>
          <w:sz w:val="24"/>
          <w:szCs w:val="24"/>
        </w:rPr>
        <w:t>Y</w:t>
      </w:r>
      <w:r w:rsidR="000D2E94">
        <w:rPr>
          <w:rFonts w:ascii="Palatino Linotype" w:hAnsi="Palatino Linotype" w:cs="Arial"/>
          <w:b/>
          <w:sz w:val="24"/>
          <w:szCs w:val="24"/>
        </w:rPr>
        <w:t xml:space="preserve"> </w:t>
      </w:r>
      <w:r w:rsidR="000D2E94">
        <w:rPr>
          <w:rFonts w:ascii="Palatino Linotype" w:hAnsi="Palatino Linotype" w:cs="Arial"/>
          <w:b/>
          <w:sz w:val="24"/>
          <w:szCs w:val="24"/>
        </w:rPr>
        <w:t xml:space="preserve">JAVIER MARTÍNEZ </w:t>
      </w:r>
      <w:r w:rsidR="00476367">
        <w:rPr>
          <w:rFonts w:ascii="Palatino Linotype" w:hAnsi="Palatino Linotype" w:cs="Arial"/>
          <w:b/>
          <w:sz w:val="24"/>
          <w:szCs w:val="24"/>
        </w:rPr>
        <w:t xml:space="preserve">EN EL </w:t>
      </w:r>
      <w:r w:rsidR="00D72985" w:rsidRPr="00CE7631">
        <w:rPr>
          <w:rFonts w:ascii="Palatino Linotype" w:hAnsi="Palatino Linotype" w:cs="Arial"/>
          <w:b/>
          <w:sz w:val="24"/>
          <w:szCs w:val="24"/>
        </w:rPr>
        <w:t>RECURSO</w:t>
      </w:r>
      <w:r w:rsidR="00283063" w:rsidRPr="00CE7631">
        <w:rPr>
          <w:rFonts w:ascii="Palatino Linotype" w:hAnsi="Palatino Linotype" w:cs="Arial"/>
          <w:b/>
          <w:sz w:val="24"/>
          <w:szCs w:val="24"/>
        </w:rPr>
        <w:t xml:space="preserve"> DE REVISIÓN 04385</w:t>
      </w:r>
      <w:r w:rsidR="00E31C26" w:rsidRPr="00CE7631">
        <w:rPr>
          <w:rFonts w:ascii="Palatino Linotype" w:hAnsi="Palatino Linotype" w:cs="Arial"/>
          <w:b/>
          <w:sz w:val="24"/>
          <w:szCs w:val="24"/>
        </w:rPr>
        <w:t>/INFOEM/IP/RR/2018</w:t>
      </w:r>
      <w:r w:rsidR="0000525F" w:rsidRPr="00CE7631">
        <w:rPr>
          <w:rFonts w:ascii="Palatino Linotype" w:hAnsi="Palatino Linotype" w:cs="Arial"/>
          <w:b/>
          <w:sz w:val="24"/>
          <w:szCs w:val="24"/>
        </w:rPr>
        <w:t>.</w:t>
      </w:r>
    </w:p>
    <w:p w:rsidR="00902248" w:rsidRPr="00CE7631" w:rsidRDefault="00902248" w:rsidP="00E922BD">
      <w:pPr>
        <w:spacing w:after="0" w:line="360" w:lineRule="auto"/>
        <w:jc w:val="both"/>
        <w:rPr>
          <w:rFonts w:ascii="Palatino Linotype" w:hAnsi="Palatino Linotype" w:cs="Arial"/>
          <w:sz w:val="24"/>
          <w:szCs w:val="24"/>
        </w:rPr>
      </w:pPr>
    </w:p>
    <w:p w:rsidR="00EC68E3" w:rsidRPr="00CE7631" w:rsidRDefault="00EC68E3" w:rsidP="00E922BD">
      <w:pPr>
        <w:spacing w:after="0" w:line="360" w:lineRule="auto"/>
        <w:jc w:val="both"/>
        <w:rPr>
          <w:rFonts w:ascii="Palatino Linotype" w:hAnsi="Palatino Linotype" w:cs="Arial"/>
          <w:color w:val="000000" w:themeColor="text1"/>
          <w:sz w:val="24"/>
          <w:szCs w:val="24"/>
        </w:rPr>
      </w:pPr>
      <w:r w:rsidRPr="00CE7631">
        <w:rPr>
          <w:rFonts w:ascii="Palatino Linotype" w:hAnsi="Palatino Linotype" w:cs="Arial"/>
          <w:b/>
          <w:color w:val="000000" w:themeColor="text1"/>
          <w:sz w:val="24"/>
          <w:szCs w:val="24"/>
        </w:rPr>
        <w:t>Resumen del voto:</w:t>
      </w:r>
      <w:r w:rsidRPr="00CE7631">
        <w:rPr>
          <w:rFonts w:ascii="Palatino Linotype" w:hAnsi="Palatino Linotype" w:cs="Arial"/>
          <w:color w:val="000000" w:themeColor="text1"/>
          <w:sz w:val="24"/>
          <w:szCs w:val="24"/>
        </w:rPr>
        <w:t xml:space="preserve"> El presente voto particular establece qué como reparación a la afectación provocada al derecho de acceso a la información por la negligencia </w:t>
      </w:r>
      <w:r w:rsidR="00523DD8">
        <w:rPr>
          <w:rFonts w:ascii="Palatino Linotype" w:hAnsi="Palatino Linotype" w:cs="Arial"/>
          <w:color w:val="000000" w:themeColor="text1"/>
          <w:sz w:val="24"/>
          <w:szCs w:val="24"/>
        </w:rPr>
        <w:t xml:space="preserve">en la atención de </w:t>
      </w:r>
      <w:r w:rsidRPr="00CE7631">
        <w:rPr>
          <w:rFonts w:ascii="Palatino Linotype" w:hAnsi="Palatino Linotype" w:cs="Arial"/>
          <w:color w:val="000000" w:themeColor="text1"/>
          <w:sz w:val="24"/>
          <w:szCs w:val="24"/>
        </w:rPr>
        <w:t>las solicitudes de información en lo</w:t>
      </w:r>
      <w:r w:rsidR="00523DD8">
        <w:rPr>
          <w:rFonts w:ascii="Palatino Linotype" w:hAnsi="Palatino Linotype" w:cs="Arial"/>
          <w:color w:val="000000" w:themeColor="text1"/>
          <w:sz w:val="24"/>
          <w:szCs w:val="24"/>
        </w:rPr>
        <w:t>s términos establecidos por la L</w:t>
      </w:r>
      <w:r w:rsidRPr="00CE7631">
        <w:rPr>
          <w:rFonts w:ascii="Palatino Linotype" w:hAnsi="Palatino Linotype" w:cs="Arial"/>
          <w:color w:val="000000" w:themeColor="text1"/>
          <w:sz w:val="24"/>
          <w:szCs w:val="24"/>
        </w:rPr>
        <w:t>ey</w:t>
      </w:r>
      <w:r w:rsidR="00523DD8">
        <w:rPr>
          <w:rFonts w:ascii="Palatino Linotype" w:hAnsi="Palatino Linotype" w:cs="Arial"/>
          <w:color w:val="000000" w:themeColor="text1"/>
          <w:sz w:val="24"/>
          <w:szCs w:val="24"/>
        </w:rPr>
        <w:t xml:space="preserve"> de Transparencia y Acceso a la Información Pública del Estado de México y Municipios</w:t>
      </w:r>
      <w:r w:rsidRPr="00CE7631">
        <w:rPr>
          <w:rFonts w:ascii="Palatino Linotype" w:hAnsi="Palatino Linotype" w:cs="Arial"/>
          <w:color w:val="000000" w:themeColor="text1"/>
          <w:sz w:val="24"/>
          <w:szCs w:val="24"/>
        </w:rPr>
        <w:t>, en los casos que proceda la entrega de la información y ésta genere algún costo, deberá ser cubierto por el Sujeto Obligado de conformidad con lo establecido en el artículo 234 de la Ley de Transparencia y Acceso a la Información Pública del Estado de México y Municipios.</w:t>
      </w:r>
    </w:p>
    <w:p w:rsidR="00B84DE5" w:rsidRPr="00CE7631" w:rsidRDefault="00CE7631" w:rsidP="00E922BD">
      <w:pPr>
        <w:spacing w:after="0" w:line="360" w:lineRule="auto"/>
        <w:jc w:val="both"/>
        <w:rPr>
          <w:rFonts w:ascii="Palatino Linotype" w:hAnsi="Palatino Linotype" w:cs="Arial"/>
          <w:sz w:val="24"/>
          <w:szCs w:val="24"/>
        </w:rPr>
      </w:pPr>
      <w:r>
        <w:rPr>
          <w:rFonts w:ascii="Palatino Linotype" w:hAnsi="Palatino Linotype" w:cs="Arial"/>
          <w:b/>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5081</wp:posOffset>
                </wp:positionV>
                <wp:extent cx="5600700" cy="35814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600700" cy="3581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CC524"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4pt" to="830.8pt,2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" strokecolor="#5b9bd5 [3204]" strokeweight="2.25pt">
                <v:stroke joinstyle="miter"/>
                <w10:wrap anchorx="margin"/>
              </v:line>
            </w:pict>
          </mc:Fallback>
        </mc:AlternateContent>
      </w: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902248" w:rsidRPr="00CE7631" w:rsidRDefault="00902248" w:rsidP="00E922BD">
      <w:pPr>
        <w:spacing w:after="0" w:line="360" w:lineRule="auto"/>
        <w:jc w:val="both"/>
        <w:rPr>
          <w:rFonts w:ascii="Palatino Linotype" w:hAnsi="Palatino Linotype" w:cs="Arial"/>
          <w:b/>
          <w:sz w:val="24"/>
          <w:szCs w:val="24"/>
        </w:rPr>
      </w:pPr>
    </w:p>
    <w:p w:rsidR="0046491C" w:rsidRPr="00CE7631" w:rsidRDefault="0046491C" w:rsidP="00E922BD">
      <w:pPr>
        <w:spacing w:after="0" w:line="360" w:lineRule="auto"/>
        <w:jc w:val="both"/>
        <w:rPr>
          <w:rFonts w:ascii="Palatino Linotype" w:hAnsi="Palatino Linotype" w:cs="Arial"/>
          <w:sz w:val="24"/>
          <w:szCs w:val="24"/>
        </w:rPr>
      </w:pPr>
      <w:r w:rsidRPr="00CE7631">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CE7631" w:rsidRDefault="0046491C" w:rsidP="000D2E94">
          <w:pPr>
            <w:pStyle w:val="TtulodeTDC"/>
            <w:spacing w:line="360" w:lineRule="auto"/>
            <w:ind w:left="426" w:hanging="426"/>
            <w:rPr>
              <w:rFonts w:ascii="Palatino Linotype" w:hAnsi="Palatino Linotype"/>
              <w:sz w:val="24"/>
              <w:szCs w:val="24"/>
            </w:rPr>
          </w:pPr>
        </w:p>
        <w:p w:rsidR="00F154C8" w:rsidRDefault="0046491C" w:rsidP="000D2E94">
          <w:pPr>
            <w:pStyle w:val="TDC1"/>
            <w:tabs>
              <w:tab w:val="left" w:pos="440"/>
              <w:tab w:val="right" w:leader="dot" w:pos="8828"/>
            </w:tabs>
            <w:ind w:left="426" w:hanging="426"/>
            <w:rPr>
              <w:rFonts w:eastAsiaTheme="minorEastAsia"/>
              <w:noProof/>
              <w:lang w:eastAsia="es-MX"/>
            </w:rPr>
          </w:pPr>
          <w:r w:rsidRPr="00CE7631">
            <w:rPr>
              <w:rFonts w:ascii="Palatino Linotype" w:hAnsi="Palatino Linotype"/>
              <w:sz w:val="24"/>
              <w:szCs w:val="24"/>
            </w:rPr>
            <w:fldChar w:fldCharType="begin"/>
          </w:r>
          <w:r w:rsidRPr="00CE7631">
            <w:rPr>
              <w:rFonts w:ascii="Palatino Linotype" w:hAnsi="Palatino Linotype"/>
              <w:sz w:val="24"/>
              <w:szCs w:val="24"/>
            </w:rPr>
            <w:instrText xml:space="preserve"> TOC \o "1-3" \h \z \u </w:instrText>
          </w:r>
          <w:r w:rsidRPr="00CE7631">
            <w:rPr>
              <w:rFonts w:ascii="Palatino Linotype" w:hAnsi="Palatino Linotype"/>
              <w:sz w:val="24"/>
              <w:szCs w:val="24"/>
            </w:rPr>
            <w:fldChar w:fldCharType="separate"/>
          </w:r>
          <w:hyperlink w:anchor="_Toc535857751" w:history="1">
            <w:r w:rsidR="00F154C8" w:rsidRPr="00617AFD">
              <w:rPr>
                <w:rStyle w:val="Hipervnculo"/>
                <w:rFonts w:ascii="Palatino Linotype" w:hAnsi="Palatino Linotype"/>
                <w:b/>
                <w:noProof/>
              </w:rPr>
              <w:t>I.</w:t>
            </w:r>
            <w:r w:rsidR="00F154C8">
              <w:rPr>
                <w:rFonts w:eastAsiaTheme="minorEastAsia"/>
                <w:noProof/>
                <w:lang w:eastAsia="es-MX"/>
              </w:rPr>
              <w:tab/>
            </w:r>
            <w:r w:rsidR="00F154C8" w:rsidRPr="00617AFD">
              <w:rPr>
                <w:rStyle w:val="Hipervnculo"/>
                <w:rFonts w:ascii="Palatino Linotype" w:hAnsi="Palatino Linotype"/>
                <w:b/>
                <w:noProof/>
              </w:rPr>
              <w:t>Consideraciones Generales.</w:t>
            </w:r>
            <w:r w:rsidR="00F154C8">
              <w:rPr>
                <w:noProof/>
                <w:webHidden/>
              </w:rPr>
              <w:tab/>
            </w:r>
            <w:r w:rsidR="00F154C8">
              <w:rPr>
                <w:noProof/>
                <w:webHidden/>
              </w:rPr>
              <w:fldChar w:fldCharType="begin"/>
            </w:r>
            <w:r w:rsidR="00F154C8">
              <w:rPr>
                <w:noProof/>
                <w:webHidden/>
              </w:rPr>
              <w:instrText xml:space="preserve"> PAGEREF _Toc535857751 \h </w:instrText>
            </w:r>
            <w:r w:rsidR="00F154C8">
              <w:rPr>
                <w:noProof/>
                <w:webHidden/>
              </w:rPr>
            </w:r>
            <w:r w:rsidR="00F154C8">
              <w:rPr>
                <w:noProof/>
                <w:webHidden/>
              </w:rPr>
              <w:fldChar w:fldCharType="separate"/>
            </w:r>
            <w:r w:rsidR="00265347">
              <w:rPr>
                <w:noProof/>
                <w:webHidden/>
              </w:rPr>
              <w:t>2</w:t>
            </w:r>
            <w:r w:rsidR="00F154C8">
              <w:rPr>
                <w:noProof/>
                <w:webHidden/>
              </w:rPr>
              <w:fldChar w:fldCharType="end"/>
            </w:r>
          </w:hyperlink>
        </w:p>
        <w:p w:rsidR="00F154C8" w:rsidRDefault="00F154C8" w:rsidP="000D2E94">
          <w:pPr>
            <w:pStyle w:val="TDC1"/>
            <w:tabs>
              <w:tab w:val="left" w:pos="660"/>
              <w:tab w:val="right" w:leader="dot" w:pos="8828"/>
            </w:tabs>
            <w:ind w:left="426" w:hanging="426"/>
            <w:rPr>
              <w:rFonts w:eastAsiaTheme="minorEastAsia"/>
              <w:noProof/>
              <w:lang w:eastAsia="es-MX"/>
            </w:rPr>
          </w:pPr>
          <w:hyperlink w:anchor="_Toc535857752" w:history="1">
            <w:r w:rsidRPr="00617AFD">
              <w:rPr>
                <w:rStyle w:val="Hipervnculo"/>
                <w:rFonts w:ascii="Palatino Linotype" w:hAnsi="Palatino Linotype"/>
                <w:b/>
                <w:noProof/>
              </w:rPr>
              <w:t>II.</w:t>
            </w:r>
            <w:r>
              <w:rPr>
                <w:rFonts w:eastAsiaTheme="minorEastAsia"/>
                <w:noProof/>
                <w:lang w:eastAsia="es-MX"/>
              </w:rPr>
              <w:tab/>
            </w:r>
            <w:r w:rsidRPr="00617AFD">
              <w:rPr>
                <w:rStyle w:val="Hipervnculo"/>
                <w:rFonts w:ascii="Palatino Linotype" w:hAnsi="Palatino Linotype"/>
                <w:b/>
                <w:noProof/>
              </w:rPr>
              <w:t>De los requerimientos planteados en el recurso de revisión.</w:t>
            </w:r>
            <w:r>
              <w:rPr>
                <w:noProof/>
                <w:webHidden/>
              </w:rPr>
              <w:tab/>
            </w:r>
            <w:r>
              <w:rPr>
                <w:noProof/>
                <w:webHidden/>
              </w:rPr>
              <w:fldChar w:fldCharType="begin"/>
            </w:r>
            <w:r>
              <w:rPr>
                <w:noProof/>
                <w:webHidden/>
              </w:rPr>
              <w:instrText xml:space="preserve"> PAGEREF _Toc535857752 \h </w:instrText>
            </w:r>
            <w:r>
              <w:rPr>
                <w:noProof/>
                <w:webHidden/>
              </w:rPr>
            </w:r>
            <w:r>
              <w:rPr>
                <w:noProof/>
                <w:webHidden/>
              </w:rPr>
              <w:fldChar w:fldCharType="separate"/>
            </w:r>
            <w:r w:rsidR="00265347">
              <w:rPr>
                <w:noProof/>
                <w:webHidden/>
              </w:rPr>
              <w:t>3</w:t>
            </w:r>
            <w:r>
              <w:rPr>
                <w:noProof/>
                <w:webHidden/>
              </w:rPr>
              <w:fldChar w:fldCharType="end"/>
            </w:r>
          </w:hyperlink>
        </w:p>
        <w:p w:rsidR="00F154C8" w:rsidRDefault="00F154C8" w:rsidP="000D2E94">
          <w:pPr>
            <w:pStyle w:val="TDC2"/>
            <w:tabs>
              <w:tab w:val="left" w:pos="880"/>
              <w:tab w:val="right" w:leader="dot" w:pos="8828"/>
            </w:tabs>
            <w:ind w:left="426" w:hanging="426"/>
            <w:rPr>
              <w:rFonts w:eastAsiaTheme="minorEastAsia"/>
              <w:noProof/>
              <w:lang w:eastAsia="es-MX"/>
            </w:rPr>
          </w:pPr>
          <w:hyperlink w:anchor="_Toc535857753" w:history="1">
            <w:r w:rsidRPr="00617AFD">
              <w:rPr>
                <w:rStyle w:val="Hipervnculo"/>
                <w:rFonts w:ascii="Palatino Linotype" w:eastAsiaTheme="majorEastAsia" w:hAnsi="Palatino Linotype" w:cs="Arial"/>
                <w:b/>
                <w:iCs/>
                <w:noProof/>
              </w:rPr>
              <w:t>III.</w:t>
            </w:r>
            <w:r>
              <w:rPr>
                <w:rFonts w:eastAsiaTheme="minorEastAsia"/>
                <w:noProof/>
                <w:lang w:eastAsia="es-MX"/>
              </w:rPr>
              <w:tab/>
            </w:r>
            <w:r w:rsidRPr="00617AFD">
              <w:rPr>
                <w:rStyle w:val="Hipervnculo"/>
                <w:rFonts w:ascii="Palatino Linotype" w:eastAsiaTheme="majorEastAsia" w:hAnsi="Palatino Linotype" w:cs="Arial"/>
                <w:b/>
                <w:iCs/>
                <w:noProof/>
              </w:rPr>
              <w:t>El derecho de acceso a la información pública.</w:t>
            </w:r>
            <w:r>
              <w:rPr>
                <w:noProof/>
                <w:webHidden/>
              </w:rPr>
              <w:tab/>
            </w:r>
            <w:r>
              <w:rPr>
                <w:noProof/>
                <w:webHidden/>
              </w:rPr>
              <w:fldChar w:fldCharType="begin"/>
            </w:r>
            <w:r>
              <w:rPr>
                <w:noProof/>
                <w:webHidden/>
              </w:rPr>
              <w:instrText xml:space="preserve"> PAGEREF _Toc535857753 \h </w:instrText>
            </w:r>
            <w:r>
              <w:rPr>
                <w:noProof/>
                <w:webHidden/>
              </w:rPr>
            </w:r>
            <w:r>
              <w:rPr>
                <w:noProof/>
                <w:webHidden/>
              </w:rPr>
              <w:fldChar w:fldCharType="separate"/>
            </w:r>
            <w:r w:rsidR="00265347">
              <w:rPr>
                <w:noProof/>
                <w:webHidden/>
              </w:rPr>
              <w:t>11</w:t>
            </w:r>
            <w:r>
              <w:rPr>
                <w:noProof/>
                <w:webHidden/>
              </w:rPr>
              <w:fldChar w:fldCharType="end"/>
            </w:r>
          </w:hyperlink>
        </w:p>
        <w:p w:rsidR="00F154C8" w:rsidRDefault="00F154C8" w:rsidP="000D2E94">
          <w:pPr>
            <w:pStyle w:val="TDC2"/>
            <w:tabs>
              <w:tab w:val="left" w:pos="880"/>
              <w:tab w:val="right" w:leader="dot" w:pos="8828"/>
            </w:tabs>
            <w:ind w:left="426" w:hanging="426"/>
            <w:rPr>
              <w:rFonts w:eastAsiaTheme="minorEastAsia"/>
              <w:noProof/>
              <w:lang w:eastAsia="es-MX"/>
            </w:rPr>
          </w:pPr>
          <w:hyperlink w:anchor="_Toc535857754" w:history="1">
            <w:r w:rsidRPr="00617AFD">
              <w:rPr>
                <w:rStyle w:val="Hipervnculo"/>
                <w:rFonts w:ascii="Palatino Linotype" w:eastAsiaTheme="majorEastAsia" w:hAnsi="Palatino Linotype" w:cs="Arial"/>
                <w:b/>
                <w:iCs/>
                <w:noProof/>
              </w:rPr>
              <w:t>IV.</w:t>
            </w:r>
            <w:r>
              <w:rPr>
                <w:rFonts w:eastAsiaTheme="minorEastAsia"/>
                <w:noProof/>
                <w:lang w:eastAsia="es-MX"/>
              </w:rPr>
              <w:tab/>
            </w:r>
            <w:r w:rsidRPr="00617AFD">
              <w:rPr>
                <w:rStyle w:val="Hipervnculo"/>
                <w:rFonts w:ascii="Palatino Linotype" w:eastAsiaTheme="majorEastAsia" w:hAnsi="Palatino Linotype" w:cs="Arial"/>
                <w:b/>
                <w:iCs/>
                <w:noProof/>
              </w:rPr>
              <w:t>Las garantías primarias del derecho de acceso a la información pública.</w:t>
            </w:r>
            <w:r>
              <w:rPr>
                <w:noProof/>
                <w:webHidden/>
              </w:rPr>
              <w:tab/>
            </w:r>
            <w:r>
              <w:rPr>
                <w:noProof/>
                <w:webHidden/>
              </w:rPr>
              <w:fldChar w:fldCharType="begin"/>
            </w:r>
            <w:r>
              <w:rPr>
                <w:noProof/>
                <w:webHidden/>
              </w:rPr>
              <w:instrText xml:space="preserve"> PAGEREF _Toc535857754 \h </w:instrText>
            </w:r>
            <w:r>
              <w:rPr>
                <w:noProof/>
                <w:webHidden/>
              </w:rPr>
            </w:r>
            <w:r>
              <w:rPr>
                <w:noProof/>
                <w:webHidden/>
              </w:rPr>
              <w:fldChar w:fldCharType="separate"/>
            </w:r>
            <w:r w:rsidR="00265347">
              <w:rPr>
                <w:noProof/>
                <w:webHidden/>
              </w:rPr>
              <w:t>13</w:t>
            </w:r>
            <w:r>
              <w:rPr>
                <w:noProof/>
                <w:webHidden/>
              </w:rPr>
              <w:fldChar w:fldCharType="end"/>
            </w:r>
          </w:hyperlink>
        </w:p>
        <w:p w:rsidR="00F154C8" w:rsidRDefault="00F154C8" w:rsidP="000D2E94">
          <w:pPr>
            <w:pStyle w:val="TDC2"/>
            <w:tabs>
              <w:tab w:val="left" w:pos="880"/>
              <w:tab w:val="right" w:leader="dot" w:pos="8828"/>
            </w:tabs>
            <w:ind w:left="426" w:hanging="426"/>
            <w:rPr>
              <w:rFonts w:eastAsiaTheme="minorEastAsia"/>
              <w:noProof/>
              <w:lang w:eastAsia="es-MX"/>
            </w:rPr>
          </w:pPr>
          <w:hyperlink w:anchor="_Toc535857755" w:history="1">
            <w:r w:rsidRPr="00617AFD">
              <w:rPr>
                <w:rStyle w:val="Hipervnculo"/>
                <w:rFonts w:ascii="Palatino Linotype" w:eastAsiaTheme="majorEastAsia" w:hAnsi="Palatino Linotype" w:cs="Arial"/>
                <w:b/>
                <w:iCs/>
                <w:noProof/>
              </w:rPr>
              <w:t>V.</w:t>
            </w:r>
            <w:r>
              <w:rPr>
                <w:rFonts w:eastAsiaTheme="minorEastAsia"/>
                <w:noProof/>
                <w:lang w:eastAsia="es-MX"/>
              </w:rPr>
              <w:tab/>
            </w:r>
            <w:r w:rsidRPr="00617AFD">
              <w:rPr>
                <w:rStyle w:val="Hipervnculo"/>
                <w:rFonts w:ascii="Palatino Linotype" w:eastAsiaTheme="majorEastAsia" w:hAnsi="Palatino Linotype" w:cs="Arial"/>
                <w:b/>
                <w:iCs/>
                <w:noProof/>
              </w:rPr>
              <w:t>La garantía secundaria del derecho de acceso a la información pública.</w:t>
            </w:r>
            <w:r>
              <w:rPr>
                <w:noProof/>
                <w:webHidden/>
              </w:rPr>
              <w:tab/>
            </w:r>
            <w:r>
              <w:rPr>
                <w:noProof/>
                <w:webHidden/>
              </w:rPr>
              <w:fldChar w:fldCharType="begin"/>
            </w:r>
            <w:r>
              <w:rPr>
                <w:noProof/>
                <w:webHidden/>
              </w:rPr>
              <w:instrText xml:space="preserve"> PAGEREF _Toc535857755 \h </w:instrText>
            </w:r>
            <w:r>
              <w:rPr>
                <w:noProof/>
                <w:webHidden/>
              </w:rPr>
            </w:r>
            <w:r>
              <w:rPr>
                <w:noProof/>
                <w:webHidden/>
              </w:rPr>
              <w:fldChar w:fldCharType="separate"/>
            </w:r>
            <w:r w:rsidR="00265347">
              <w:rPr>
                <w:noProof/>
                <w:webHidden/>
              </w:rPr>
              <w:t>15</w:t>
            </w:r>
            <w:r>
              <w:rPr>
                <w:noProof/>
                <w:webHidden/>
              </w:rPr>
              <w:fldChar w:fldCharType="end"/>
            </w:r>
          </w:hyperlink>
        </w:p>
        <w:p w:rsidR="00F154C8" w:rsidRDefault="00F154C8" w:rsidP="000D2E94">
          <w:pPr>
            <w:pStyle w:val="TDC2"/>
            <w:tabs>
              <w:tab w:val="left" w:pos="880"/>
              <w:tab w:val="right" w:leader="dot" w:pos="8828"/>
            </w:tabs>
            <w:ind w:left="426" w:hanging="426"/>
            <w:rPr>
              <w:rFonts w:eastAsiaTheme="minorEastAsia"/>
              <w:noProof/>
              <w:lang w:eastAsia="es-MX"/>
            </w:rPr>
          </w:pPr>
          <w:hyperlink w:anchor="_Toc535857756" w:history="1">
            <w:r w:rsidRPr="00617AFD">
              <w:rPr>
                <w:rStyle w:val="Hipervnculo"/>
                <w:rFonts w:ascii="Palatino Linotype" w:eastAsiaTheme="majorEastAsia" w:hAnsi="Palatino Linotype" w:cs="Arial"/>
                <w:b/>
                <w:iCs/>
                <w:noProof/>
              </w:rPr>
              <w:t>VI.</w:t>
            </w:r>
            <w:r>
              <w:rPr>
                <w:rFonts w:eastAsiaTheme="minorEastAsia"/>
                <w:noProof/>
                <w:lang w:eastAsia="es-MX"/>
              </w:rPr>
              <w:tab/>
            </w:r>
            <w:r w:rsidRPr="00617AFD">
              <w:rPr>
                <w:rStyle w:val="Hipervnculo"/>
                <w:rFonts w:ascii="Palatino Linotype" w:eastAsiaTheme="majorEastAsia" w:hAnsi="Palatino Linotype" w:cs="Arial"/>
                <w:b/>
                <w:iCs/>
                <w:noProof/>
              </w:rPr>
              <w:t>Consecuencias de la violación al derecho humano.</w:t>
            </w:r>
            <w:r>
              <w:rPr>
                <w:noProof/>
                <w:webHidden/>
              </w:rPr>
              <w:tab/>
            </w:r>
            <w:r>
              <w:rPr>
                <w:noProof/>
                <w:webHidden/>
              </w:rPr>
              <w:fldChar w:fldCharType="begin"/>
            </w:r>
            <w:r>
              <w:rPr>
                <w:noProof/>
                <w:webHidden/>
              </w:rPr>
              <w:instrText xml:space="preserve"> PAGEREF _Toc535857756 \h </w:instrText>
            </w:r>
            <w:r>
              <w:rPr>
                <w:noProof/>
                <w:webHidden/>
              </w:rPr>
            </w:r>
            <w:r>
              <w:rPr>
                <w:noProof/>
                <w:webHidden/>
              </w:rPr>
              <w:fldChar w:fldCharType="separate"/>
            </w:r>
            <w:r w:rsidR="00265347">
              <w:rPr>
                <w:noProof/>
                <w:webHidden/>
              </w:rPr>
              <w:t>17</w:t>
            </w:r>
            <w:r>
              <w:rPr>
                <w:noProof/>
                <w:webHidden/>
              </w:rPr>
              <w:fldChar w:fldCharType="end"/>
            </w:r>
          </w:hyperlink>
        </w:p>
        <w:p w:rsidR="00F154C8" w:rsidRDefault="00F154C8" w:rsidP="000D2E94">
          <w:pPr>
            <w:pStyle w:val="TDC2"/>
            <w:tabs>
              <w:tab w:val="left" w:pos="880"/>
              <w:tab w:val="right" w:leader="dot" w:pos="8828"/>
            </w:tabs>
            <w:ind w:left="426" w:hanging="426"/>
            <w:rPr>
              <w:rFonts w:eastAsiaTheme="minorEastAsia"/>
              <w:noProof/>
              <w:lang w:eastAsia="es-MX"/>
            </w:rPr>
          </w:pPr>
          <w:hyperlink w:anchor="_Toc535857757" w:history="1">
            <w:r w:rsidRPr="00617AFD">
              <w:rPr>
                <w:rStyle w:val="Hipervnculo"/>
                <w:rFonts w:ascii="Palatino Linotype" w:eastAsiaTheme="majorEastAsia" w:hAnsi="Palatino Linotype" w:cs="Arial"/>
                <w:b/>
                <w:iCs/>
                <w:noProof/>
              </w:rPr>
              <w:t>VII.</w:t>
            </w:r>
            <w:r>
              <w:rPr>
                <w:rFonts w:eastAsiaTheme="minorEastAsia"/>
                <w:noProof/>
                <w:lang w:eastAsia="es-MX"/>
              </w:rPr>
              <w:tab/>
            </w:r>
            <w:r w:rsidRPr="00617AFD">
              <w:rPr>
                <w:rStyle w:val="Hipervnculo"/>
                <w:rFonts w:ascii="Palatino Linotype" w:eastAsiaTheme="majorEastAsia" w:hAnsi="Palatino Linotype" w:cs="Arial"/>
                <w:b/>
                <w:iCs/>
                <w:noProof/>
              </w:rPr>
              <w:t>Conclusiones.</w:t>
            </w:r>
            <w:r>
              <w:rPr>
                <w:noProof/>
                <w:webHidden/>
              </w:rPr>
              <w:tab/>
            </w:r>
            <w:r>
              <w:rPr>
                <w:noProof/>
                <w:webHidden/>
              </w:rPr>
              <w:fldChar w:fldCharType="begin"/>
            </w:r>
            <w:r>
              <w:rPr>
                <w:noProof/>
                <w:webHidden/>
              </w:rPr>
              <w:instrText xml:space="preserve"> PAGEREF _Toc535857757 \h </w:instrText>
            </w:r>
            <w:r>
              <w:rPr>
                <w:noProof/>
                <w:webHidden/>
              </w:rPr>
            </w:r>
            <w:r>
              <w:rPr>
                <w:noProof/>
                <w:webHidden/>
              </w:rPr>
              <w:fldChar w:fldCharType="separate"/>
            </w:r>
            <w:r w:rsidR="00265347">
              <w:rPr>
                <w:noProof/>
                <w:webHidden/>
              </w:rPr>
              <w:t>21</w:t>
            </w:r>
            <w:r>
              <w:rPr>
                <w:noProof/>
                <w:webHidden/>
              </w:rPr>
              <w:fldChar w:fldCharType="end"/>
            </w:r>
          </w:hyperlink>
        </w:p>
        <w:p w:rsidR="001A103E" w:rsidRPr="00CE7631" w:rsidRDefault="0046491C" w:rsidP="000D2E94">
          <w:pPr>
            <w:spacing w:line="360" w:lineRule="auto"/>
            <w:ind w:left="426" w:hanging="426"/>
            <w:rPr>
              <w:rFonts w:ascii="Palatino Linotype" w:hAnsi="Palatino Linotype"/>
              <w:sz w:val="24"/>
              <w:szCs w:val="24"/>
            </w:rPr>
          </w:pPr>
          <w:r w:rsidRPr="00CE7631">
            <w:rPr>
              <w:rFonts w:ascii="Palatino Linotype" w:hAnsi="Palatino Linotype"/>
              <w:b/>
              <w:bCs/>
              <w:sz w:val="24"/>
              <w:szCs w:val="24"/>
              <w:lang w:val="es-ES"/>
            </w:rPr>
            <w:fldChar w:fldCharType="end"/>
          </w:r>
        </w:p>
      </w:sdtContent>
    </w:sdt>
    <w:p w:rsidR="00F154C8" w:rsidRDefault="0046491C" w:rsidP="00F154C8">
      <w:pPr>
        <w:pStyle w:val="Ttulo1"/>
        <w:numPr>
          <w:ilvl w:val="0"/>
          <w:numId w:val="12"/>
        </w:numPr>
        <w:spacing w:line="360" w:lineRule="auto"/>
        <w:ind w:left="0" w:firstLine="0"/>
        <w:rPr>
          <w:rFonts w:ascii="Palatino Linotype" w:hAnsi="Palatino Linotype"/>
          <w:b/>
          <w:color w:val="auto"/>
          <w:sz w:val="24"/>
          <w:szCs w:val="24"/>
        </w:rPr>
      </w:pPr>
      <w:bookmarkStart w:id="0" w:name="_Toc535857751"/>
      <w:r w:rsidRPr="00CE7631">
        <w:rPr>
          <w:rFonts w:ascii="Palatino Linotype" w:hAnsi="Palatino Linotype"/>
          <w:b/>
          <w:color w:val="auto"/>
          <w:sz w:val="24"/>
          <w:szCs w:val="24"/>
        </w:rPr>
        <w:t>Consideraciones Generales.</w:t>
      </w:r>
      <w:bookmarkEnd w:id="0"/>
    </w:p>
    <w:p w:rsidR="00F154C8" w:rsidRPr="00F154C8" w:rsidRDefault="00F154C8" w:rsidP="00F154C8"/>
    <w:p w:rsidR="001A103E" w:rsidRPr="00CE7631" w:rsidRDefault="0046491C" w:rsidP="00E922BD">
      <w:pPr>
        <w:pStyle w:val="Prrafodelista"/>
        <w:numPr>
          <w:ilvl w:val="0"/>
          <w:numId w:val="1"/>
        </w:numPr>
        <w:spacing w:after="0" w:line="360" w:lineRule="auto"/>
        <w:ind w:left="0" w:firstLine="0"/>
        <w:jc w:val="both"/>
        <w:rPr>
          <w:rFonts w:ascii="Palatino Linotype" w:hAnsi="Palatino Linotype" w:cs="Arial"/>
          <w:sz w:val="24"/>
          <w:szCs w:val="24"/>
        </w:rPr>
      </w:pPr>
      <w:r w:rsidRPr="00CE7631">
        <w:rPr>
          <w:rFonts w:ascii="Palatino Linotype" w:eastAsia="Times New Roman" w:hAnsi="Palatino Linotype" w:cs="Arial"/>
          <w:sz w:val="24"/>
          <w:szCs w:val="24"/>
          <w:lang w:val="es-ES_tradnl"/>
        </w:rPr>
        <w:t>He</w:t>
      </w:r>
      <w:r w:rsidR="00476367">
        <w:rPr>
          <w:rFonts w:ascii="Palatino Linotype" w:eastAsia="Times New Roman" w:hAnsi="Palatino Linotype" w:cs="Arial"/>
          <w:sz w:val="24"/>
          <w:szCs w:val="24"/>
          <w:lang w:val="es-ES_tradnl"/>
        </w:rPr>
        <w:t>mos concurrido con nuestro</w:t>
      </w:r>
      <w:r w:rsidRPr="00CE7631">
        <w:rPr>
          <w:rFonts w:ascii="Palatino Linotype" w:eastAsia="Times New Roman" w:hAnsi="Palatino Linotype" w:cs="Arial"/>
          <w:sz w:val="24"/>
          <w:szCs w:val="24"/>
          <w:lang w:val="es-ES_tradnl"/>
        </w:rPr>
        <w:t xml:space="preserve"> </w:t>
      </w:r>
      <w:r w:rsidR="00D33AF9" w:rsidRPr="00CE7631">
        <w:rPr>
          <w:rFonts w:ascii="Palatino Linotype" w:eastAsia="Times New Roman" w:hAnsi="Palatino Linotype" w:cs="Arial"/>
          <w:sz w:val="24"/>
          <w:szCs w:val="24"/>
          <w:lang w:val="es-ES_tradnl"/>
        </w:rPr>
        <w:t>voto</w:t>
      </w:r>
      <w:r w:rsidRPr="00CE7631">
        <w:rPr>
          <w:rFonts w:ascii="Palatino Linotype" w:eastAsia="Times New Roman" w:hAnsi="Palatino Linotype" w:cs="Arial"/>
          <w:sz w:val="24"/>
          <w:szCs w:val="24"/>
          <w:lang w:val="es-ES_tradnl"/>
        </w:rPr>
        <w:t xml:space="preserve"> particular de la presente resolución emitida </w:t>
      </w:r>
      <w:r w:rsidRPr="00CE7631">
        <w:rPr>
          <w:rFonts w:ascii="Palatino Linotype" w:hAnsi="Palatino Linotype" w:cs="Arial"/>
          <w:sz w:val="24"/>
          <w:szCs w:val="24"/>
        </w:rPr>
        <w:t>por el Pleno del Instituto de Transparencia, Acceso a la Información Pública y Protección de Datos Personales del Estado de Méxi</w:t>
      </w:r>
      <w:r w:rsidR="00283063" w:rsidRPr="00CE7631">
        <w:rPr>
          <w:rFonts w:ascii="Palatino Linotype" w:hAnsi="Palatino Linotype" w:cs="Arial"/>
          <w:sz w:val="24"/>
          <w:szCs w:val="24"/>
        </w:rPr>
        <w:t>co y Municipios, en su Segunda Sesión Ordinaria de fecha dieciséis</w:t>
      </w:r>
      <w:r w:rsidRPr="00CE7631">
        <w:rPr>
          <w:rFonts w:ascii="Palatino Linotype" w:hAnsi="Palatino Linotype" w:cs="Arial"/>
          <w:sz w:val="24"/>
          <w:szCs w:val="24"/>
        </w:rPr>
        <w:t xml:space="preserve"> (</w:t>
      </w:r>
      <w:r w:rsidR="00283063" w:rsidRPr="00CE7631">
        <w:rPr>
          <w:rFonts w:ascii="Palatino Linotype" w:hAnsi="Palatino Linotype" w:cs="Arial"/>
          <w:sz w:val="24"/>
          <w:szCs w:val="24"/>
        </w:rPr>
        <w:t>16</w:t>
      </w:r>
      <w:r w:rsidR="00CE7631">
        <w:rPr>
          <w:rFonts w:ascii="Palatino Linotype" w:hAnsi="Palatino Linotype" w:cs="Arial"/>
          <w:sz w:val="24"/>
          <w:szCs w:val="24"/>
        </w:rPr>
        <w:t>) de enero de dos mil diecinueve</w:t>
      </w:r>
      <w:r w:rsidRPr="00CE7631">
        <w:rPr>
          <w:rFonts w:ascii="Palatino Linotype" w:hAnsi="Palatino Linotype" w:cs="Arial"/>
          <w:sz w:val="24"/>
          <w:szCs w:val="24"/>
        </w:rPr>
        <w:t>, en el recurso</w:t>
      </w:r>
      <w:r w:rsidR="002C1F75" w:rsidRPr="00CE7631">
        <w:rPr>
          <w:rFonts w:ascii="Palatino Linotype" w:hAnsi="Palatino Linotype" w:cs="Arial"/>
          <w:sz w:val="24"/>
          <w:szCs w:val="24"/>
        </w:rPr>
        <w:t xml:space="preserve"> de revisión promovido</w:t>
      </w:r>
      <w:r w:rsidR="00283063" w:rsidRPr="00CE7631">
        <w:rPr>
          <w:rFonts w:ascii="Palatino Linotype" w:hAnsi="Palatino Linotype" w:cs="Arial"/>
          <w:sz w:val="24"/>
          <w:szCs w:val="24"/>
        </w:rPr>
        <w:t xml:space="preserve"> por la parte recurrente</w:t>
      </w:r>
      <w:r w:rsidRPr="00CE7631">
        <w:rPr>
          <w:rFonts w:ascii="Palatino Linotype" w:hAnsi="Palatino Linotype" w:cs="Arial"/>
          <w:sz w:val="24"/>
          <w:szCs w:val="24"/>
        </w:rPr>
        <w:t>,</w:t>
      </w:r>
      <w:r w:rsidRPr="00CE7631">
        <w:rPr>
          <w:rFonts w:ascii="Palatino Linotype" w:hAnsi="Palatino Linotype" w:cs="Arial"/>
          <w:b/>
          <w:sz w:val="24"/>
          <w:szCs w:val="24"/>
        </w:rPr>
        <w:t xml:space="preserve"> </w:t>
      </w:r>
      <w:r w:rsidRPr="00CE7631">
        <w:rPr>
          <w:rFonts w:ascii="Palatino Linotype" w:hAnsi="Palatino Linotype" w:cs="Arial"/>
          <w:sz w:val="24"/>
          <w:szCs w:val="24"/>
        </w:rPr>
        <w:t xml:space="preserve">en contra de la respuesta del </w:t>
      </w:r>
      <w:r w:rsidR="00283063" w:rsidRPr="00CE7631">
        <w:rPr>
          <w:rFonts w:ascii="Palatino Linotype" w:eastAsia="Calibri" w:hAnsi="Palatino Linotype" w:cs="Times New Roman"/>
          <w:b/>
          <w:sz w:val="24"/>
          <w:szCs w:val="24"/>
          <w:lang w:val="es-ES" w:eastAsia="es-ES"/>
        </w:rPr>
        <w:t>Ayuntamiento de Naucalpan de Juárez</w:t>
      </w:r>
      <w:r w:rsidRPr="00CE7631">
        <w:rPr>
          <w:rFonts w:ascii="Palatino Linotype" w:hAnsi="Palatino Linotype" w:cs="Arial"/>
          <w:sz w:val="24"/>
          <w:szCs w:val="24"/>
        </w:rPr>
        <w:t>, procedimiento a</w:t>
      </w:r>
      <w:r w:rsidR="0000525F" w:rsidRPr="00CE7631">
        <w:rPr>
          <w:rFonts w:ascii="Palatino Linotype" w:hAnsi="Palatino Linotype" w:cs="Arial"/>
          <w:sz w:val="24"/>
          <w:szCs w:val="24"/>
        </w:rPr>
        <w:t>l</w:t>
      </w:r>
      <w:r w:rsidR="00902248" w:rsidRPr="00CE7631">
        <w:rPr>
          <w:rFonts w:ascii="Palatino Linotype" w:hAnsi="Palatino Linotype" w:cs="Arial"/>
          <w:sz w:val="24"/>
          <w:szCs w:val="24"/>
        </w:rPr>
        <w:t xml:space="preserve"> que se le asignó </w:t>
      </w:r>
      <w:r w:rsidR="0000525F" w:rsidRPr="00CE7631">
        <w:rPr>
          <w:rFonts w:ascii="Palatino Linotype" w:hAnsi="Palatino Linotype" w:cs="Arial"/>
          <w:sz w:val="24"/>
          <w:szCs w:val="24"/>
        </w:rPr>
        <w:t>el</w:t>
      </w:r>
      <w:r w:rsidRPr="00CE7631">
        <w:rPr>
          <w:rFonts w:ascii="Palatino Linotype" w:hAnsi="Palatino Linotype" w:cs="Arial"/>
          <w:sz w:val="24"/>
          <w:szCs w:val="24"/>
        </w:rPr>
        <w:t xml:space="preserve"> número de expediente </w:t>
      </w:r>
      <w:r w:rsidR="00283063" w:rsidRPr="00CE7631">
        <w:rPr>
          <w:rFonts w:ascii="Palatino Linotype" w:eastAsia="Times New Roman" w:hAnsi="Palatino Linotype" w:cs="Arial"/>
          <w:bCs/>
          <w:sz w:val="24"/>
          <w:szCs w:val="24"/>
          <w:lang w:eastAsia="es-ES"/>
        </w:rPr>
        <w:t xml:space="preserve">señalado anteriormente. </w:t>
      </w:r>
    </w:p>
    <w:p w:rsidR="00E71F88" w:rsidRPr="00CE7631" w:rsidRDefault="00E71F88" w:rsidP="00E922BD">
      <w:pPr>
        <w:pStyle w:val="Prrafodelista"/>
        <w:spacing w:after="0" w:line="360" w:lineRule="auto"/>
        <w:ind w:left="426"/>
        <w:jc w:val="both"/>
        <w:rPr>
          <w:rFonts w:ascii="Palatino Linotype" w:hAnsi="Palatino Linotype" w:cs="Arial"/>
          <w:sz w:val="24"/>
          <w:szCs w:val="24"/>
        </w:rPr>
      </w:pPr>
    </w:p>
    <w:p w:rsidR="00D33AF9" w:rsidRPr="00CE7631" w:rsidRDefault="0046491C" w:rsidP="00E922BD">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CE7631">
        <w:rPr>
          <w:rFonts w:ascii="Palatino Linotype" w:hAnsi="Palatino Linotype" w:cs="Arial"/>
          <w:sz w:val="24"/>
          <w:szCs w:val="24"/>
        </w:rPr>
        <w:t xml:space="preserve">Resultan </w:t>
      </w:r>
      <w:r w:rsidR="00E71F88" w:rsidRPr="00CE7631">
        <w:rPr>
          <w:rFonts w:ascii="Palatino Linotype" w:hAnsi="Palatino Linotype" w:cs="Arial"/>
          <w:sz w:val="24"/>
          <w:szCs w:val="24"/>
        </w:rPr>
        <w:t xml:space="preserve">parcialmente </w:t>
      </w:r>
      <w:r w:rsidR="00EA3894" w:rsidRPr="00CE7631">
        <w:rPr>
          <w:rFonts w:ascii="Palatino Linotype" w:hAnsi="Palatino Linotype" w:cs="Arial"/>
          <w:sz w:val="24"/>
          <w:szCs w:val="24"/>
        </w:rPr>
        <w:t>fundada</w:t>
      </w:r>
      <w:r w:rsidR="007E1651" w:rsidRPr="00CE7631">
        <w:rPr>
          <w:rFonts w:ascii="Palatino Linotype" w:hAnsi="Palatino Linotype" w:cs="Arial"/>
          <w:sz w:val="24"/>
          <w:szCs w:val="24"/>
        </w:rPr>
        <w:t>s</w:t>
      </w:r>
      <w:r w:rsidR="00F42DAD" w:rsidRPr="00CE7631">
        <w:rPr>
          <w:rFonts w:ascii="Palatino Linotype" w:hAnsi="Palatino Linotype" w:cs="Arial"/>
          <w:sz w:val="24"/>
          <w:szCs w:val="24"/>
        </w:rPr>
        <w:t xml:space="preserve"> </w:t>
      </w:r>
      <w:r w:rsidR="00EA3894" w:rsidRPr="00CE7631">
        <w:rPr>
          <w:rFonts w:ascii="Palatino Linotype" w:hAnsi="Palatino Linotype" w:cs="Arial"/>
          <w:sz w:val="24"/>
          <w:szCs w:val="24"/>
        </w:rPr>
        <w:t>la</w:t>
      </w:r>
      <w:r w:rsidR="0000525F" w:rsidRPr="00CE7631">
        <w:rPr>
          <w:rFonts w:ascii="Palatino Linotype" w:hAnsi="Palatino Linotype" w:cs="Arial"/>
          <w:sz w:val="24"/>
          <w:szCs w:val="24"/>
        </w:rPr>
        <w:t>s</w:t>
      </w:r>
      <w:r w:rsidRPr="00CE7631">
        <w:rPr>
          <w:rFonts w:ascii="Palatino Linotype" w:hAnsi="Palatino Linotype" w:cs="Arial"/>
          <w:sz w:val="24"/>
          <w:szCs w:val="24"/>
        </w:rPr>
        <w:t xml:space="preserve"> </w:t>
      </w:r>
      <w:r w:rsidR="00EA3894" w:rsidRPr="00CE7631">
        <w:rPr>
          <w:rFonts w:ascii="Palatino Linotype" w:hAnsi="Palatino Linotype" w:cs="Arial"/>
          <w:sz w:val="24"/>
          <w:szCs w:val="24"/>
        </w:rPr>
        <w:t xml:space="preserve">razones o </w:t>
      </w:r>
      <w:r w:rsidRPr="00CE7631">
        <w:rPr>
          <w:rFonts w:ascii="Palatino Linotype" w:hAnsi="Palatino Linotype" w:cs="Arial"/>
          <w:sz w:val="24"/>
          <w:szCs w:val="24"/>
        </w:rPr>
        <w:t xml:space="preserve">motivos de inconformidad </w:t>
      </w:r>
      <w:r w:rsidR="0000525F" w:rsidRPr="00CE7631">
        <w:rPr>
          <w:rFonts w:ascii="Palatino Linotype" w:hAnsi="Palatino Linotype" w:cs="Arial"/>
          <w:sz w:val="24"/>
          <w:szCs w:val="24"/>
        </w:rPr>
        <w:t xml:space="preserve">que arguye </w:t>
      </w:r>
      <w:r w:rsidR="00E71F88" w:rsidRPr="00CE7631">
        <w:rPr>
          <w:rFonts w:ascii="Palatino Linotype" w:hAnsi="Palatino Linotype" w:cs="Arial"/>
          <w:sz w:val="24"/>
          <w:szCs w:val="24"/>
        </w:rPr>
        <w:t>la parte recurrente</w:t>
      </w:r>
      <w:r w:rsidRPr="00CE7631">
        <w:rPr>
          <w:rFonts w:ascii="Palatino Linotype" w:hAnsi="Palatino Linotype" w:cs="Arial"/>
          <w:sz w:val="24"/>
          <w:szCs w:val="24"/>
        </w:rPr>
        <w:t>, en</w:t>
      </w:r>
      <w:r w:rsidR="00AA49F3" w:rsidRPr="00CE7631">
        <w:rPr>
          <w:rFonts w:ascii="Palatino Linotype" w:hAnsi="Palatino Linotype" w:cs="Arial"/>
          <w:sz w:val="24"/>
          <w:szCs w:val="24"/>
        </w:rPr>
        <w:t xml:space="preserve"> t</w:t>
      </w:r>
      <w:r w:rsidR="00E71F88" w:rsidRPr="00CE7631">
        <w:rPr>
          <w:rFonts w:ascii="Palatino Linotype" w:hAnsi="Palatino Linotype" w:cs="Arial"/>
          <w:sz w:val="24"/>
          <w:szCs w:val="24"/>
        </w:rPr>
        <w:t xml:space="preserve">érminos del Considerando </w:t>
      </w:r>
      <w:r w:rsidR="00E71F88" w:rsidRPr="00CE7631">
        <w:rPr>
          <w:rFonts w:ascii="Palatino Linotype" w:hAnsi="Palatino Linotype" w:cs="Arial"/>
          <w:b/>
          <w:sz w:val="24"/>
          <w:szCs w:val="24"/>
        </w:rPr>
        <w:t>CUARTO</w:t>
      </w:r>
      <w:r w:rsidRPr="00CE7631">
        <w:rPr>
          <w:rFonts w:ascii="Palatino Linotype" w:hAnsi="Palatino Linotype" w:cs="Arial"/>
          <w:sz w:val="24"/>
          <w:szCs w:val="24"/>
        </w:rPr>
        <w:t xml:space="preserve"> de la r</w:t>
      </w:r>
      <w:r w:rsidR="00F42DAD" w:rsidRPr="00CE7631">
        <w:rPr>
          <w:rFonts w:ascii="Palatino Linotype" w:hAnsi="Palatino Linotype" w:cs="Arial"/>
          <w:sz w:val="24"/>
          <w:szCs w:val="24"/>
        </w:rPr>
        <w:t xml:space="preserve">esolución por lo que se </w:t>
      </w:r>
      <w:r w:rsidR="00EA3894" w:rsidRPr="00CE7631">
        <w:rPr>
          <w:rFonts w:ascii="Palatino Linotype" w:hAnsi="Palatino Linotype" w:cs="Arial"/>
          <w:b/>
          <w:sz w:val="24"/>
          <w:szCs w:val="24"/>
        </w:rPr>
        <w:t>REVOCA</w:t>
      </w:r>
      <w:r w:rsidRPr="00CE7631">
        <w:rPr>
          <w:rFonts w:ascii="Palatino Linotype" w:hAnsi="Palatino Linotype" w:cs="Arial"/>
          <w:sz w:val="24"/>
          <w:szCs w:val="24"/>
        </w:rPr>
        <w:t xml:space="preserve"> la respuesta otorgada por el </w:t>
      </w:r>
      <w:r w:rsidRPr="00CE7631">
        <w:rPr>
          <w:rFonts w:ascii="Palatino Linotype" w:hAnsi="Palatino Linotype" w:cs="Arial"/>
          <w:b/>
          <w:sz w:val="24"/>
          <w:szCs w:val="24"/>
        </w:rPr>
        <w:t>SUJETO OBLIGADO</w:t>
      </w:r>
      <w:r w:rsidRPr="00CE7631">
        <w:rPr>
          <w:rFonts w:ascii="Palatino Linotype" w:hAnsi="Palatino Linotype" w:cs="Arial"/>
          <w:sz w:val="24"/>
          <w:szCs w:val="24"/>
        </w:rPr>
        <w:t>.</w:t>
      </w:r>
    </w:p>
    <w:p w:rsidR="00D33AF9" w:rsidRPr="00CE7631" w:rsidRDefault="00D33AF9" w:rsidP="00E922BD">
      <w:pPr>
        <w:pStyle w:val="Prrafodelista"/>
        <w:spacing w:line="360" w:lineRule="auto"/>
        <w:rPr>
          <w:rFonts w:ascii="Palatino Linotype" w:hAnsi="Palatino Linotype" w:cs="Arial"/>
          <w:sz w:val="24"/>
          <w:szCs w:val="24"/>
        </w:rPr>
      </w:pPr>
    </w:p>
    <w:p w:rsidR="00CE7631" w:rsidRPr="00CE7631" w:rsidRDefault="00476367" w:rsidP="00E922BD">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Nuestro</w:t>
      </w:r>
      <w:r w:rsidR="0046491C" w:rsidRPr="00CE7631">
        <w:rPr>
          <w:rFonts w:ascii="Palatino Linotype" w:hAnsi="Palatino Linotype" w:cs="Arial"/>
          <w:sz w:val="24"/>
          <w:szCs w:val="24"/>
        </w:rPr>
        <w:t xml:space="preserve"> </w:t>
      </w:r>
      <w:r w:rsidR="00D33AF9" w:rsidRPr="00CE7631">
        <w:rPr>
          <w:rFonts w:ascii="Palatino Linotype" w:hAnsi="Palatino Linotype" w:cs="Arial"/>
          <w:sz w:val="24"/>
          <w:szCs w:val="24"/>
        </w:rPr>
        <w:t>voto</w:t>
      </w:r>
      <w:r w:rsidR="0046491C" w:rsidRPr="00CE7631">
        <w:rPr>
          <w:rFonts w:ascii="Palatino Linotype" w:hAnsi="Palatino Linotype" w:cs="Arial"/>
          <w:sz w:val="24"/>
          <w:szCs w:val="24"/>
        </w:rPr>
        <w:t xml:space="preserve"> particular se</w:t>
      </w:r>
      <w:r w:rsidR="007E1651" w:rsidRPr="00CE7631">
        <w:rPr>
          <w:rFonts w:ascii="Palatino Linotype" w:hAnsi="Palatino Linotype" w:cs="Arial"/>
          <w:sz w:val="24"/>
          <w:szCs w:val="24"/>
        </w:rPr>
        <w:t xml:space="preserve"> deriva </w:t>
      </w:r>
      <w:r w:rsidR="00EA3894" w:rsidRPr="00CE7631">
        <w:rPr>
          <w:rFonts w:ascii="Palatino Linotype" w:hAnsi="Palatino Linotype" w:cs="Arial"/>
          <w:sz w:val="24"/>
          <w:szCs w:val="24"/>
        </w:rPr>
        <w:t xml:space="preserve">específicamente </w:t>
      </w:r>
      <w:r w:rsidR="007E1651" w:rsidRPr="00CE7631">
        <w:rPr>
          <w:rFonts w:ascii="Palatino Linotype" w:hAnsi="Palatino Linotype" w:cs="Arial"/>
          <w:sz w:val="24"/>
          <w:szCs w:val="24"/>
        </w:rPr>
        <w:t xml:space="preserve">del </w:t>
      </w:r>
      <w:r w:rsidR="009844AE">
        <w:rPr>
          <w:rFonts w:ascii="Palatino Linotype" w:hAnsi="Palatino Linotype" w:cs="Arial"/>
          <w:sz w:val="24"/>
          <w:szCs w:val="24"/>
        </w:rPr>
        <w:t>cobro de las copias certificadas</w:t>
      </w:r>
      <w:r w:rsidR="007E1FDC" w:rsidRPr="00CE7631">
        <w:rPr>
          <w:rFonts w:ascii="Palatino Linotype" w:hAnsi="Palatino Linotype" w:cs="Arial"/>
          <w:sz w:val="24"/>
          <w:szCs w:val="24"/>
        </w:rPr>
        <w:t xml:space="preserve"> </w:t>
      </w:r>
      <w:r w:rsidR="00EA3894" w:rsidRPr="00CE7631">
        <w:rPr>
          <w:rFonts w:ascii="Palatino Linotype" w:hAnsi="Palatino Linotype" w:cs="Arial"/>
          <w:sz w:val="24"/>
          <w:szCs w:val="24"/>
        </w:rPr>
        <w:t>de</w:t>
      </w:r>
      <w:r w:rsidR="007E1FDC" w:rsidRPr="00CE7631">
        <w:rPr>
          <w:rFonts w:ascii="Palatino Linotype" w:hAnsi="Palatino Linotype" w:cs="Arial"/>
          <w:sz w:val="24"/>
          <w:szCs w:val="24"/>
        </w:rPr>
        <w:t xml:space="preserve"> </w:t>
      </w:r>
      <w:r w:rsidR="00EA3894" w:rsidRPr="00CE7631">
        <w:rPr>
          <w:rFonts w:ascii="Palatino Linotype" w:hAnsi="Palatino Linotype" w:cs="Arial"/>
          <w:sz w:val="24"/>
          <w:szCs w:val="24"/>
        </w:rPr>
        <w:t>l</w:t>
      </w:r>
      <w:r w:rsidR="007E1FDC" w:rsidRPr="00CE7631">
        <w:rPr>
          <w:rFonts w:ascii="Palatino Linotype" w:hAnsi="Palatino Linotype" w:cs="Arial"/>
          <w:sz w:val="24"/>
          <w:szCs w:val="24"/>
        </w:rPr>
        <w:t>as</w:t>
      </w:r>
      <w:r w:rsidR="00EA3894" w:rsidRPr="00CE7631">
        <w:rPr>
          <w:rFonts w:ascii="Palatino Linotype" w:hAnsi="Palatino Linotype" w:cs="Arial"/>
          <w:sz w:val="24"/>
          <w:szCs w:val="24"/>
        </w:rPr>
        <w:t xml:space="preserve"> que se ha ordena</w:t>
      </w:r>
      <w:r w:rsidR="007E1FDC" w:rsidRPr="00CE7631">
        <w:rPr>
          <w:rFonts w:ascii="Palatino Linotype" w:hAnsi="Palatino Linotype" w:cs="Arial"/>
          <w:sz w:val="24"/>
          <w:szCs w:val="24"/>
        </w:rPr>
        <w:t xml:space="preserve">do la entrega, por las razones de hecho y de derecho que se mencionan más adelante. </w:t>
      </w:r>
      <w:r w:rsidR="0046491C" w:rsidRPr="00CE7631">
        <w:rPr>
          <w:rFonts w:ascii="Palatino Linotype" w:hAnsi="Palatino Linotype" w:cs="Arial"/>
          <w:sz w:val="24"/>
          <w:szCs w:val="24"/>
        </w:rPr>
        <w:t xml:space="preserve">Por tal motivo y en términos de lo señalado por los artículos </w:t>
      </w:r>
      <w:r w:rsidR="00AA49F3" w:rsidRPr="00CE7631">
        <w:rPr>
          <w:rFonts w:ascii="Palatino Linotype" w:hAnsi="Palatino Linotype" w:cs="Arial"/>
          <w:sz w:val="24"/>
          <w:szCs w:val="24"/>
        </w:rPr>
        <w:t>14</w:t>
      </w:r>
      <w:r w:rsidR="0046491C" w:rsidRPr="00CE7631">
        <w:rPr>
          <w:rFonts w:ascii="Palatino Linotype" w:hAnsi="Palatino Linotype" w:cs="Arial"/>
          <w:sz w:val="24"/>
          <w:szCs w:val="24"/>
        </w:rPr>
        <w:t xml:space="preserve"> fracción </w:t>
      </w:r>
      <w:r w:rsidR="00AA49F3" w:rsidRPr="00CE7631">
        <w:rPr>
          <w:rFonts w:ascii="Palatino Linotype" w:hAnsi="Palatino Linotype" w:cs="Arial"/>
          <w:sz w:val="24"/>
          <w:szCs w:val="24"/>
        </w:rPr>
        <w:t>XI</w:t>
      </w:r>
      <w:r w:rsidR="0046491C" w:rsidRPr="00CE7631">
        <w:rPr>
          <w:rFonts w:ascii="Palatino Linotype" w:hAnsi="Palatino Linotype" w:cs="Arial"/>
          <w:sz w:val="24"/>
          <w:szCs w:val="24"/>
        </w:rPr>
        <w:t xml:space="preserve"> del Reglamento Interior del Instituto de Transparencia y Acceso a la Información Pública del Estad</w:t>
      </w:r>
      <w:r>
        <w:rPr>
          <w:rFonts w:ascii="Palatino Linotype" w:hAnsi="Palatino Linotype" w:cs="Arial"/>
          <w:sz w:val="24"/>
          <w:szCs w:val="24"/>
        </w:rPr>
        <w:t>o de México y Municipios formulamos</w:t>
      </w:r>
      <w:r w:rsidR="0046491C" w:rsidRPr="00CE7631">
        <w:rPr>
          <w:rFonts w:ascii="Palatino Linotype" w:hAnsi="Palatino Linotype" w:cs="Arial"/>
          <w:sz w:val="24"/>
          <w:szCs w:val="24"/>
        </w:rPr>
        <w:t xml:space="preserve"> el presente voto particular. </w:t>
      </w:r>
    </w:p>
    <w:p w:rsidR="0046491C" w:rsidRPr="009844AE" w:rsidRDefault="0046491C" w:rsidP="009844AE">
      <w:pPr>
        <w:pStyle w:val="Ttulo1"/>
        <w:numPr>
          <w:ilvl w:val="0"/>
          <w:numId w:val="12"/>
        </w:numPr>
        <w:spacing w:line="360" w:lineRule="auto"/>
        <w:ind w:left="0" w:firstLine="0"/>
        <w:rPr>
          <w:rFonts w:ascii="Palatino Linotype" w:hAnsi="Palatino Linotype"/>
          <w:b/>
          <w:color w:val="auto"/>
          <w:sz w:val="24"/>
          <w:szCs w:val="24"/>
        </w:rPr>
      </w:pPr>
      <w:bookmarkStart w:id="1" w:name="_Toc535857752"/>
      <w:r w:rsidRPr="00CE7631">
        <w:rPr>
          <w:rFonts w:ascii="Palatino Linotype" w:hAnsi="Palatino Linotype"/>
          <w:b/>
          <w:color w:val="auto"/>
          <w:sz w:val="24"/>
          <w:szCs w:val="24"/>
        </w:rPr>
        <w:t>De los requerimientos planteados en el recurso de revisión.</w:t>
      </w:r>
      <w:bookmarkEnd w:id="1"/>
    </w:p>
    <w:p w:rsidR="0046491C" w:rsidRPr="00CE7631" w:rsidRDefault="00E71F88" w:rsidP="00E922BD">
      <w:pPr>
        <w:pStyle w:val="Prrafodelista"/>
        <w:numPr>
          <w:ilvl w:val="0"/>
          <w:numId w:val="1"/>
        </w:numPr>
        <w:spacing w:after="0" w:line="360" w:lineRule="auto"/>
        <w:ind w:left="0" w:firstLine="0"/>
        <w:jc w:val="both"/>
        <w:rPr>
          <w:rFonts w:ascii="Palatino Linotype" w:eastAsia="Times New Roman" w:hAnsi="Palatino Linotype" w:cs="Arial"/>
          <w:sz w:val="24"/>
          <w:szCs w:val="24"/>
        </w:rPr>
      </w:pPr>
      <w:r w:rsidRPr="00CE7631">
        <w:rPr>
          <w:rFonts w:ascii="Palatino Linotype" w:hAnsi="Palatino Linotype" w:cs="Arial"/>
          <w:sz w:val="24"/>
          <w:szCs w:val="24"/>
        </w:rPr>
        <w:t>La parte recurrente</w:t>
      </w:r>
      <w:r w:rsidR="0046491C" w:rsidRPr="00CE7631">
        <w:rPr>
          <w:rFonts w:ascii="Palatino Linotype" w:hAnsi="Palatino Linotype" w:cs="Arial"/>
          <w:sz w:val="24"/>
          <w:szCs w:val="24"/>
        </w:rPr>
        <w:t xml:space="preserve">, mediante la solicitud de acceso a la información </w:t>
      </w:r>
      <w:r w:rsidR="0046491C" w:rsidRPr="00CE7631">
        <w:rPr>
          <w:rFonts w:ascii="Palatino Linotype" w:hAnsi="Palatino Linotype" w:cs="Arial"/>
          <w:b/>
          <w:sz w:val="24"/>
          <w:szCs w:val="24"/>
        </w:rPr>
        <w:t>00</w:t>
      </w:r>
      <w:r w:rsidR="00CE7631">
        <w:rPr>
          <w:rFonts w:ascii="Palatino Linotype" w:hAnsi="Palatino Linotype" w:cs="Arial"/>
          <w:b/>
          <w:sz w:val="24"/>
          <w:szCs w:val="24"/>
        </w:rPr>
        <w:t>591/NAUCALPA/IP/2018</w:t>
      </w:r>
      <w:r w:rsidR="0046491C" w:rsidRPr="00CE7631">
        <w:rPr>
          <w:rFonts w:ascii="Palatino Linotype" w:hAnsi="Palatino Linotype" w:cs="Arial"/>
          <w:b/>
          <w:sz w:val="24"/>
          <w:szCs w:val="24"/>
        </w:rPr>
        <w:t>,</w:t>
      </w:r>
      <w:r w:rsidR="00902248" w:rsidRPr="00CE7631">
        <w:rPr>
          <w:rFonts w:ascii="Palatino Linotype" w:hAnsi="Palatino Linotype" w:cs="Arial"/>
          <w:b/>
          <w:sz w:val="24"/>
          <w:szCs w:val="24"/>
        </w:rPr>
        <w:t xml:space="preserve"> </w:t>
      </w:r>
      <w:r w:rsidR="0046491C" w:rsidRPr="00CE7631">
        <w:rPr>
          <w:rFonts w:ascii="Palatino Linotype" w:hAnsi="Palatino Linotype" w:cs="Arial"/>
          <w:sz w:val="24"/>
          <w:szCs w:val="24"/>
        </w:rPr>
        <w:t xml:space="preserve">requirió lo siguiente: </w:t>
      </w:r>
    </w:p>
    <w:p w:rsidR="007E1651" w:rsidRPr="00CE7631" w:rsidRDefault="007E1651" w:rsidP="00E922BD">
      <w:pPr>
        <w:pStyle w:val="Prrafodelista"/>
        <w:spacing w:after="0" w:line="360" w:lineRule="auto"/>
        <w:ind w:left="360"/>
        <w:jc w:val="both"/>
        <w:rPr>
          <w:rFonts w:ascii="Palatino Linotype" w:eastAsia="Times New Roman" w:hAnsi="Palatino Linotype" w:cs="Arial"/>
          <w:sz w:val="24"/>
          <w:szCs w:val="24"/>
        </w:rPr>
      </w:pPr>
    </w:p>
    <w:p w:rsidR="00E922BD" w:rsidRDefault="006E3748" w:rsidP="00E922BD">
      <w:pPr>
        <w:spacing w:line="360" w:lineRule="auto"/>
        <w:ind w:left="567" w:right="616"/>
        <w:jc w:val="both"/>
        <w:rPr>
          <w:rFonts w:ascii="Palatino Linotype" w:eastAsia="Times New Roman" w:hAnsi="Palatino Linotype" w:cs="Times New Roman"/>
          <w:i/>
          <w:sz w:val="24"/>
          <w:szCs w:val="24"/>
          <w:lang w:val="es-ES" w:eastAsia="es-ES"/>
        </w:rPr>
      </w:pPr>
      <w:r w:rsidRPr="00CE7631">
        <w:rPr>
          <w:rFonts w:ascii="Palatino Linotype" w:hAnsi="Palatino Linotype" w:cs="Arial"/>
          <w:i/>
          <w:sz w:val="24"/>
          <w:szCs w:val="24"/>
          <w:lang w:eastAsia="es-MX"/>
        </w:rPr>
        <w:t>“</w:t>
      </w:r>
      <w:r w:rsidR="00E71F88" w:rsidRPr="00CE7631">
        <w:rPr>
          <w:rFonts w:ascii="Palatino Linotype" w:hAnsi="Palatino Linotype" w:cs="Arial"/>
          <w:i/>
          <w:sz w:val="24"/>
          <w:szCs w:val="24"/>
          <w:lang w:eastAsia="es-MX"/>
        </w:rPr>
        <w:t xml:space="preserve">Por este medio solicito copia certificada de la Autorización de Cambio de Uso del Suelo con número de expediente CUS/032/2017 con fecha de expedición del 18 de septiembre de 2017, con nombre del titular de Corporativo INCOSOL, SA de CV. (veáse páginas 16 y 17 de la Gaceta del Gobierno del Estado Libre y Soberano de México de fecha 27 de julio de 2018 adjunta a la presente solicitud o visible en </w:t>
      </w:r>
      <w:r w:rsidR="00E71F88" w:rsidRPr="00CE7631">
        <w:rPr>
          <w:rFonts w:ascii="Palatino Linotype" w:hAnsi="Palatino Linotype" w:cs="Arial"/>
          <w:i/>
          <w:sz w:val="24"/>
          <w:szCs w:val="24"/>
          <w:lang w:eastAsia="es-MX"/>
        </w:rPr>
        <w:lastRenderedPageBreak/>
        <w:t>http://legislacion.edomex.gob.mx/sites/legislacion.edomex.gob.mx/files/files/pdf/gct/2018/jul272.pdf).</w:t>
      </w:r>
      <w:r w:rsidR="00E71F88" w:rsidRPr="00CE7631">
        <w:rPr>
          <w:rFonts w:ascii="Palatino Linotype" w:hAnsi="Palatino Linotype" w:cs="Arial"/>
          <w:i/>
          <w:sz w:val="24"/>
          <w:szCs w:val="24"/>
          <w:lang w:val="es-ES_tradnl" w:eastAsia="es-MX"/>
        </w:rPr>
        <w:t>” [Sic]</w:t>
      </w:r>
      <w:r w:rsidRPr="00CE7631">
        <w:rPr>
          <w:rFonts w:ascii="Palatino Linotype" w:hAnsi="Palatino Linotype" w:cs="Arial"/>
          <w:i/>
          <w:sz w:val="24"/>
          <w:szCs w:val="24"/>
          <w:lang w:eastAsia="es-MX"/>
        </w:rPr>
        <w:t xml:space="preserve">.” </w:t>
      </w:r>
      <w:r w:rsidR="00DB084B" w:rsidRPr="00CE7631">
        <w:rPr>
          <w:rFonts w:ascii="Palatino Linotype" w:eastAsia="Times New Roman" w:hAnsi="Palatino Linotype" w:cs="Times New Roman"/>
          <w:i/>
          <w:sz w:val="24"/>
          <w:szCs w:val="24"/>
          <w:lang w:val="es-ES" w:eastAsia="es-ES"/>
        </w:rPr>
        <w:t>(sic)</w:t>
      </w:r>
    </w:p>
    <w:p w:rsidR="00E922BD" w:rsidRPr="00E922BD" w:rsidRDefault="00E922BD" w:rsidP="00E922BD">
      <w:pPr>
        <w:spacing w:line="360" w:lineRule="auto"/>
        <w:ind w:left="567" w:right="616"/>
        <w:jc w:val="both"/>
        <w:rPr>
          <w:rFonts w:ascii="Palatino Linotype" w:eastAsia="Times New Roman" w:hAnsi="Palatino Linotype" w:cs="Times New Roman"/>
          <w:i/>
          <w:sz w:val="24"/>
          <w:szCs w:val="24"/>
          <w:lang w:val="es-ES" w:eastAsia="es-ES"/>
        </w:rPr>
      </w:pPr>
    </w:p>
    <w:p w:rsidR="006E3748" w:rsidRPr="00CE7631" w:rsidRDefault="0046491C" w:rsidP="00E922BD">
      <w:pPr>
        <w:pStyle w:val="Prrafodelista"/>
        <w:numPr>
          <w:ilvl w:val="0"/>
          <w:numId w:val="1"/>
        </w:numPr>
        <w:spacing w:after="0" w:line="360" w:lineRule="auto"/>
        <w:ind w:left="0" w:firstLine="0"/>
        <w:jc w:val="both"/>
        <w:rPr>
          <w:rFonts w:ascii="Palatino Linotype" w:hAnsi="Palatino Linotype" w:cs="Arial"/>
          <w:sz w:val="24"/>
          <w:szCs w:val="24"/>
        </w:rPr>
      </w:pPr>
      <w:r w:rsidRPr="00CE7631">
        <w:rPr>
          <w:rFonts w:ascii="Palatino Linotype" w:hAnsi="Palatino Linotype" w:cs="Arial"/>
          <w:sz w:val="24"/>
          <w:szCs w:val="24"/>
        </w:rPr>
        <w:t xml:space="preserve">Sin embargo, el </w:t>
      </w:r>
      <w:r w:rsidRPr="00CE7631">
        <w:rPr>
          <w:rFonts w:ascii="Palatino Linotype" w:hAnsi="Palatino Linotype" w:cs="Arial"/>
          <w:b/>
          <w:sz w:val="24"/>
          <w:szCs w:val="24"/>
        </w:rPr>
        <w:t>SUJETO OBLIGADO</w:t>
      </w:r>
      <w:r w:rsidRPr="00CE7631">
        <w:rPr>
          <w:rFonts w:ascii="Palatino Linotype" w:hAnsi="Palatino Linotype" w:cs="Arial"/>
          <w:sz w:val="24"/>
          <w:szCs w:val="24"/>
        </w:rPr>
        <w:t xml:space="preserve"> en su respuesta</w:t>
      </w:r>
      <w:r w:rsidR="00937D7D" w:rsidRPr="00CE7631">
        <w:rPr>
          <w:rFonts w:ascii="Palatino Linotype" w:hAnsi="Palatino Linotype" w:cs="Arial"/>
          <w:sz w:val="24"/>
          <w:szCs w:val="24"/>
        </w:rPr>
        <w:t xml:space="preserve"> </w:t>
      </w:r>
      <w:r w:rsidR="009A5A6A" w:rsidRPr="00CE7631">
        <w:rPr>
          <w:rFonts w:ascii="Palatino Linotype" w:hAnsi="Palatino Linotype" w:cs="Arial"/>
          <w:sz w:val="24"/>
          <w:szCs w:val="24"/>
        </w:rPr>
        <w:t xml:space="preserve">se limitó </w:t>
      </w:r>
      <w:r w:rsidR="006E3748" w:rsidRPr="00CE7631">
        <w:rPr>
          <w:rFonts w:ascii="Palatino Linotype" w:hAnsi="Palatino Linotype" w:cs="Arial"/>
          <w:sz w:val="24"/>
          <w:szCs w:val="24"/>
        </w:rPr>
        <w:t xml:space="preserve">a </w:t>
      </w:r>
      <w:r w:rsidR="00BD299A" w:rsidRPr="00CE7631">
        <w:rPr>
          <w:rFonts w:ascii="Palatino Linotype" w:hAnsi="Palatino Linotype" w:cs="Arial"/>
          <w:sz w:val="24"/>
          <w:szCs w:val="24"/>
        </w:rPr>
        <w:t xml:space="preserve">mencionar </w:t>
      </w:r>
      <w:r w:rsidR="006E3748" w:rsidRPr="00CE7631">
        <w:rPr>
          <w:rFonts w:ascii="Palatino Linotype" w:hAnsi="Palatino Linotype" w:cs="Arial"/>
          <w:sz w:val="24"/>
          <w:szCs w:val="24"/>
        </w:rPr>
        <w:t xml:space="preserve">de forma medular que </w:t>
      </w:r>
      <w:r w:rsidR="00E71F88" w:rsidRPr="00CE7631">
        <w:rPr>
          <w:rFonts w:ascii="Palatino Linotype" w:hAnsi="Palatino Linotype" w:cs="Arial"/>
          <w:i/>
          <w:sz w:val="24"/>
          <w:szCs w:val="24"/>
          <w:lang w:eastAsia="es-MX"/>
        </w:rPr>
        <w:t>“…De acuerdo con el Catálogo de Información Clasificada publicado en la Gaceta Oficial del Municipio de Naucalpan de Juárez el día 07 de abril de 2008, los datos y documentos que integran los expedientes de cada peticionario se considera información confidencial, debido a esto, no es posible otorgarle la información solicitada…” (sic)</w:t>
      </w:r>
      <w:r w:rsidR="00E922BD">
        <w:rPr>
          <w:rFonts w:ascii="Palatino Linotype" w:hAnsi="Palatino Linotype" w:cs="Arial"/>
          <w:i/>
          <w:sz w:val="24"/>
          <w:szCs w:val="24"/>
          <w:lang w:eastAsia="es-MX"/>
        </w:rPr>
        <w:t>.</w:t>
      </w:r>
    </w:p>
    <w:p w:rsidR="00E71F88" w:rsidRPr="00CE7631" w:rsidRDefault="00E71F88" w:rsidP="00E922BD">
      <w:pPr>
        <w:pStyle w:val="Prrafodelista"/>
        <w:spacing w:after="0" w:line="360" w:lineRule="auto"/>
        <w:ind w:left="360"/>
        <w:jc w:val="both"/>
        <w:rPr>
          <w:rFonts w:ascii="Palatino Linotype" w:hAnsi="Palatino Linotype" w:cs="Arial"/>
          <w:sz w:val="24"/>
          <w:szCs w:val="24"/>
        </w:rPr>
      </w:pPr>
    </w:p>
    <w:p w:rsidR="006E3748" w:rsidRPr="00CE7631" w:rsidRDefault="006E3748" w:rsidP="00E922BD">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CE7631">
        <w:rPr>
          <w:rFonts w:ascii="Palatino Linotype" w:hAnsi="Palatino Linotype" w:cs="Arial"/>
          <w:sz w:val="24"/>
          <w:szCs w:val="24"/>
        </w:rPr>
        <w:t>En ese sentido,</w:t>
      </w:r>
      <w:r w:rsidRPr="00CE7631">
        <w:rPr>
          <w:rFonts w:ascii="Palatino Linotype" w:hAnsi="Palatino Linotype" w:cs="Arial"/>
          <w:b/>
          <w:sz w:val="24"/>
          <w:szCs w:val="24"/>
        </w:rPr>
        <w:t xml:space="preserve"> </w:t>
      </w:r>
      <w:r w:rsidR="00E71F88" w:rsidRPr="00CE7631">
        <w:rPr>
          <w:rFonts w:ascii="Palatino Linotype" w:hAnsi="Palatino Linotype" w:cs="Arial"/>
          <w:sz w:val="24"/>
          <w:szCs w:val="24"/>
        </w:rPr>
        <w:t>la parte recurrente</w:t>
      </w:r>
      <w:r w:rsidRPr="00CE7631">
        <w:rPr>
          <w:rFonts w:ascii="Palatino Linotype" w:hAnsi="Palatino Linotype" w:cs="Arial"/>
          <w:sz w:val="24"/>
          <w:szCs w:val="24"/>
        </w:rPr>
        <w:t>, manifestó en su recurso de revisión como motivos de la inconformidad, lo siguiente:</w:t>
      </w:r>
    </w:p>
    <w:p w:rsidR="00E71F88" w:rsidRPr="00CE7631" w:rsidRDefault="00E71F88" w:rsidP="00E922BD">
      <w:pPr>
        <w:pStyle w:val="Prrafodelista"/>
        <w:spacing w:line="360" w:lineRule="auto"/>
        <w:rPr>
          <w:rFonts w:ascii="Palatino Linotype" w:hAnsi="Palatino Linotype" w:cs="Arial"/>
          <w:sz w:val="24"/>
          <w:szCs w:val="24"/>
        </w:rPr>
      </w:pPr>
    </w:p>
    <w:p w:rsidR="00E71F88" w:rsidRPr="00CE7631" w:rsidRDefault="00E71F88" w:rsidP="00E922BD">
      <w:pPr>
        <w:pStyle w:val="Prrafodelista"/>
        <w:spacing w:before="240" w:after="240" w:line="360" w:lineRule="auto"/>
        <w:ind w:left="567" w:right="616"/>
        <w:jc w:val="both"/>
        <w:rPr>
          <w:rFonts w:ascii="Palatino Linotype" w:hAnsi="Palatino Linotype" w:cs="Arial"/>
          <w:i/>
          <w:sz w:val="24"/>
          <w:szCs w:val="24"/>
        </w:rPr>
      </w:pPr>
      <w:r w:rsidRPr="00CE7631">
        <w:rPr>
          <w:rFonts w:ascii="Palatino Linotype" w:hAnsi="Palatino Linotype" w:cs="Arial"/>
          <w:i/>
          <w:sz w:val="24"/>
          <w:szCs w:val="24"/>
        </w:rPr>
        <w:t>“RAZÓN DE LA INCONFORMIDAD 1.</w:t>
      </w:r>
      <w:r w:rsidRPr="00CE7631">
        <w:rPr>
          <w:rFonts w:ascii="Palatino Linotype" w:hAnsi="Palatino Linotype" w:cs="Arial"/>
          <w:i/>
          <w:sz w:val="24"/>
          <w:szCs w:val="24"/>
        </w:rPr>
        <w:tab/>
        <w:t xml:space="preserve">El día 9 de octubre de 2018 realicé una solicitud de acceso a información pública a través del Sistema de Acceso a la Información Mexiquense (SAIMEX), solicitud a la cual se le asignó el número de folio o expediente 00591/NAUCALPA/IP/2018. En ésta señalé lo siguiente: “Por este medio solicito copia certificada de la Autorización de Cambio de Uso del Suelo con número de expediente CUS/032/2017 con fecha de expedición del 18 de septiembre de 2017, con nombre del titular de Corporativo INCOSOL, SA de CV. (veáse páginas 16 y 17 de la Gaceta del Gobierno del Estado Libre y Soberano de México de fecha 27 de julio de 2018 adjunta a la presente solicitud </w:t>
      </w:r>
      <w:r w:rsidRPr="00CE7631">
        <w:rPr>
          <w:rFonts w:ascii="Palatino Linotype" w:hAnsi="Palatino Linotype" w:cs="Arial"/>
          <w:i/>
          <w:sz w:val="24"/>
          <w:szCs w:val="24"/>
        </w:rPr>
        <w:lastRenderedPageBreak/>
        <w:t>o visible en http://legislacion.edomex.gob.mx/sites/legislacion.edomex.gob.mx/files/files/pdf/gct/2018/jul272.pdf)”. La modalidad seleccionada para la entrega de información fue de copia certificada. 2.</w:t>
      </w:r>
      <w:r w:rsidRPr="00CE7631">
        <w:rPr>
          <w:rFonts w:ascii="Palatino Linotype" w:hAnsi="Palatino Linotype" w:cs="Arial"/>
          <w:i/>
          <w:sz w:val="24"/>
          <w:szCs w:val="24"/>
        </w:rPr>
        <w:tab/>
        <w:t xml:space="preserve">Posteriormente, recibí la respuesta con fecha del 6 de noviembre de 2018 emitida por el Responsable de la Unidad de Información del Ayuntamiento de Naucalpan de Juárez, Mtro. Jorge Cajiga Calderón, en donde señala citar al servidor público habilitado de la Dirección General de Desarrollo Urbano del Ayuntamiento de Naucalpan de Juárez, enunciando lo siguiente: “…De acuerdo con el Catálogo de Información Clasificada publicado en la Gaceta Oficial del Municipio de Naucalpan de Juárez el día 07 de abril de 2008, los datos y documentos que integran los expedientes de cada peticionario se considera información confidencial, debido a esto, no es posible otorgarle la información solicitada…”. 3. El artículo 70 fracción XXVII de la Ley General de Transparencia y Acceso a la Información Pública se establece lo siguiente: 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 XXVII. Las concesiones, contratos, convenios, permisos, licencias o autorizaciones otorgados, especificando los titulares de aquéllos, debiendo publicarse su objeto, nombre o razón social del </w:t>
      </w:r>
      <w:r w:rsidRPr="00CE7631">
        <w:rPr>
          <w:rFonts w:ascii="Palatino Linotype" w:hAnsi="Palatino Linotype" w:cs="Arial"/>
          <w:i/>
          <w:sz w:val="24"/>
          <w:szCs w:val="24"/>
        </w:rPr>
        <w:lastRenderedPageBreak/>
        <w:t xml:space="preserve">titular, vigencia, tipo, términos, condiciones, monto y modificaciones, así como si el procedimiento involucra el aprovechamiento de bienes, servicios y/o recursos públicos… El artículo 92 fracción XXXII de la Ley de Transparencia y Acceso a la Información Pública del Estado de México y Municipios establece lo siguiente: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Por ende, lo argüido por el servidor público habilitado carece completamente de sentido, puesto que las autorizaciones constituyen información pública que, de oficio, los sujetos obligados tienen la obligación de subir a su página de Internet (lo cual no ha hecho y que, por ende, conlleva otra violación a la normatividad aplicable). Máxime que el acto administrativo de carácter particular solicitado a través de la solicitud de información del suscrito fue proporcionado por el mismo titular de los datos confidenciales, que el sujeto obligado arguye supuestamente pretender proteger, a la Consejería Jurídica del Ejecutivo del Estado de México </w:t>
      </w:r>
      <w:r w:rsidRPr="00CE7631">
        <w:rPr>
          <w:rFonts w:ascii="Palatino Linotype" w:hAnsi="Palatino Linotype" w:cs="Arial"/>
          <w:i/>
          <w:sz w:val="24"/>
          <w:szCs w:val="24"/>
        </w:rPr>
        <w:lastRenderedPageBreak/>
        <w:t>para que éste fuese publicado en la Gaceta de Gobierno del estado de México, lo cual se realizó mediante la Gaceta del Gobierno del Estado Libre y Soberano de México de fecha 27 de julio de 2018, la cual es visible en el vínculo electrónico proporcionado en la misma solicitud de información. Luego entonces, lo solicitado al sujeto obligado no sólo se trata de información pública que, de oficio, debiese obrar en la página electrónica del sujeto obligado, sino que los supuestos datos confidenciales que podría pretender proteger ya son públicos, por virtud de que el titular del acto administrativo así lo quiso volitivamente. Por ende, lo que se solicita no violenta ningún derecho de tercero ni atenta contra la normatividad aplicable. Sin embargo, la negativa del sujeto obligado sí atenta contra el derecho humano ya referido del suscrito. No se omite señalar que el sujeto responsable niega el acceso a la información solicitada señalando que ésta es información confidencial, y anexando un documento que data de abril de 2008 mediante el cual el Ayuntamiento declaró como información reservada y confidencial todos los documentos emitidos por la Dirección General de Desarrollo Urbano (siendo el caso que los fundamentos de la información reservada están anotadas a mano y, por ende, ni siquiera se presumen que formasen parte originalmente del documento escrito a máquina), lo cual claramente es ilegal e inconstitucional, pues las clasificaciones se realizan de forma individual, y no genéricamente, como pretende referir el sujeto obligado en este caso. 4.</w:t>
      </w:r>
      <w:r w:rsidRPr="00CE7631">
        <w:rPr>
          <w:rFonts w:ascii="Palatino Linotype" w:hAnsi="Palatino Linotype" w:cs="Arial"/>
          <w:i/>
          <w:sz w:val="24"/>
          <w:szCs w:val="24"/>
        </w:rPr>
        <w:tab/>
        <w:t>El hecho de que se me haya negado la información solicitada constituye: -</w:t>
      </w:r>
      <w:r w:rsidRPr="00CE7631">
        <w:rPr>
          <w:rFonts w:ascii="Palatino Linotype" w:hAnsi="Palatino Linotype" w:cs="Arial"/>
          <w:i/>
          <w:sz w:val="24"/>
          <w:szCs w:val="24"/>
        </w:rPr>
        <w:tab/>
        <w:t xml:space="preserve">Una aberración en contra de las obligaciones de transparencia de los servidores públicos, pues la </w:t>
      </w:r>
      <w:r w:rsidRPr="00CE7631">
        <w:rPr>
          <w:rFonts w:ascii="Palatino Linotype" w:hAnsi="Palatino Linotype" w:cs="Arial"/>
          <w:i/>
          <w:sz w:val="24"/>
          <w:szCs w:val="24"/>
        </w:rPr>
        <w:lastRenderedPageBreak/>
        <w:t>autoridad municipal tiene el descaro de señalar que la información pública de oficio se encuentra en el supuesto de información confidencial, lo cual es el colmo de la ineptitud, pues para ello existen las versiones públicas. -</w:t>
      </w:r>
      <w:r w:rsidRPr="00CE7631">
        <w:rPr>
          <w:rFonts w:ascii="Palatino Linotype" w:hAnsi="Palatino Linotype" w:cs="Arial"/>
          <w:i/>
          <w:sz w:val="24"/>
          <w:szCs w:val="24"/>
        </w:rPr>
        <w:tab/>
        <w:t>La confesión tácita del incumplimiento de las obligaciones de transparencia del sujeto obligado con respecto a poner a disposición, de forma permanente y continua, las autorizaciones que emite. -</w:t>
      </w:r>
      <w:r w:rsidRPr="00CE7631">
        <w:rPr>
          <w:rFonts w:ascii="Palatino Linotype" w:hAnsi="Palatino Linotype" w:cs="Arial"/>
          <w:i/>
          <w:sz w:val="24"/>
          <w:szCs w:val="24"/>
        </w:rPr>
        <w:tab/>
        <w:t>En razón de lo anterior, la actualización del incumplimiento a las obligaciones administrativas del servidor público, lo cual hace conducente que se dé vista al órgano contralor conducente para que se inicie un procedimiento administrativo en su contra. -</w:t>
      </w:r>
      <w:r w:rsidRPr="00CE7631">
        <w:rPr>
          <w:rFonts w:ascii="Palatino Linotype" w:hAnsi="Palatino Linotype" w:cs="Arial"/>
          <w:i/>
          <w:sz w:val="24"/>
          <w:szCs w:val="24"/>
        </w:rPr>
        <w:tab/>
        <w:t xml:space="preserve">La posible comisión de una conducta delictiva, al negar injustificadamente el acceso a información pública, abusando y excediendo sus atribuciones legalmente conferidas. DENUNCIA ADJUNTA Atendiendo a lo expuesto en los artículos 3 fracción XVI, 29, 30 fracción II, 37, 42 fracción XVIII, 206 fracción I y 207 de la Ley General de Transparencia y Acceso a la Información Pública; 3 fracciones XXV y XLI, 111, 113, 114 fracción I, 118, 119 y demás relativos de la Ley de Transparencia y Acceso a la Información Pública del Estado de México y Municipios; y 42 fracción I y XXXIV de la Ley de Responsabilidades de los Servidores Públicos del Estado y Municipios, se solicita que, aunado a la tramitación del presente medio de impugnación, se dé trámite de la presente denuncia por incumplimiento del servidor público que nos ocupa por el presente descarado incumplimiento de sus obligaciones de transparencia, pese a que en la solicitud respectiva se incluyeron los fundamentos necesarios y se señaló que la </w:t>
      </w:r>
      <w:r w:rsidRPr="00CE7631">
        <w:rPr>
          <w:rFonts w:ascii="Palatino Linotype" w:hAnsi="Palatino Linotype" w:cs="Arial"/>
          <w:i/>
          <w:sz w:val="24"/>
          <w:szCs w:val="24"/>
        </w:rPr>
        <w:lastRenderedPageBreak/>
        <w:t>información solicitada era pública de oficio, lo cual es prueba clara de la mala fe con la que actuó. Así, en razón de los requisitos señalados por los artículos 112, 113, 114 fracción I y 115 de la Ley de Transparencia y Acceso a la Información Pública del Estado de México y Municipios, se señala lo siguiente: A)</w:t>
      </w:r>
      <w:r w:rsidRPr="00CE7631">
        <w:rPr>
          <w:rFonts w:ascii="Palatino Linotype" w:hAnsi="Palatino Linotype" w:cs="Arial"/>
          <w:i/>
          <w:sz w:val="24"/>
          <w:szCs w:val="24"/>
        </w:rPr>
        <w:tab/>
        <w:t>Junto con el medio de impugnación que nos ocupa, se hace llegar por esta misma vía la presente denuncia a ese H. Instituto (artículo 112 fracción I de la citada Ley). B)</w:t>
      </w:r>
      <w:r w:rsidRPr="00CE7631">
        <w:rPr>
          <w:rFonts w:ascii="Palatino Linotype" w:hAnsi="Palatino Linotype" w:cs="Arial"/>
          <w:i/>
          <w:sz w:val="24"/>
          <w:szCs w:val="24"/>
        </w:rPr>
        <w:tab/>
        <w:t>El nombre del servidor público denunciado es el sujeto obligado de la Dirección General de Desarrollo Urbano que emitió la respuesta a la solicitud de información que aquí se impugna, así como aquél encargado de mantener al día la página electrónica del sujeto obligado con las licencias que esa Dirección General emite (artículo 113 fracción I de la citada Ley). C)</w:t>
      </w:r>
      <w:r w:rsidRPr="00CE7631">
        <w:rPr>
          <w:rFonts w:ascii="Palatino Linotype" w:hAnsi="Palatino Linotype" w:cs="Arial"/>
          <w:i/>
          <w:sz w:val="24"/>
          <w:szCs w:val="24"/>
        </w:rPr>
        <w:tab/>
        <w:t>La descripción clara y precisa del incumplimiento deriva de lo contenido en los numerales 1 a 3 de este recurso de revisión adjunto (artículo 113 fracción II de la citada Ley). D)</w:t>
      </w:r>
      <w:r w:rsidRPr="00CE7631">
        <w:rPr>
          <w:rFonts w:ascii="Palatino Linotype" w:hAnsi="Palatino Linotype" w:cs="Arial"/>
          <w:i/>
          <w:sz w:val="24"/>
          <w:szCs w:val="24"/>
        </w:rPr>
        <w:tab/>
        <w:t xml:space="preserve">La denuncia se presenta vía electrónica adjunta al recurso de revisión que se tramita, en el presente formato libre (artículos 114 fracción I y 115 de la citada Ley). No se omite señalar que el artículo 207 de la Ley General de Transparencia y Acceso a la Información Pública señala: Artículo 207. Las conductas a que se refiere el artículo anterior serán sancionadas por los Organismos garantes, según corresponda y, en su caso, conforme a su competencia darán vista a la autoridad competente para que imponga o ejecute la sanción. Se proporcionan documentales públicas adjuntas a este recurso como prueba de lo denunciado, las cuales consisten en la solicitud de acceso a información pública de fecha 9 de </w:t>
      </w:r>
      <w:r w:rsidRPr="00CE7631">
        <w:rPr>
          <w:rFonts w:ascii="Palatino Linotype" w:hAnsi="Palatino Linotype" w:cs="Arial"/>
          <w:i/>
          <w:sz w:val="24"/>
          <w:szCs w:val="24"/>
        </w:rPr>
        <w:lastRenderedPageBreak/>
        <w:t>octubre de 2018, realizada vía SAIMEX, tramitada con el número de folio o expediente 00591/NAUCALPA/IP/2018, así como de la respuesta que recayó a esta solicitud. Por lo antes expuesto y fundado, atentamente solicito a ese H. Instituto: PRIMERO.- Tenerme por presentado en tiempo y forma con el presente recurso de revisión. SEGUNDO.- Previos los trámites de ley, se ordene a la autoridad competente que responda como es debido mi solicitud de acceso a información pública de fecha 9 de octubre de 2018, tramitada con el número de folio o expediente 00591/NAUCALPA/IP/2018, proporcionando a cabalidad y de forma íntegra (sin versiones públicas indebidas) el documento solicitado. TERCERO.- Se dé seguimiento al cumplimiento de la resolución que se emita, a fin de que ésta sea cabalmente cumplida. Para estos efectos, se proporcione un medio de comunicación mediante el cual se pueda reportar cualquier anomalía en su cumplimiento. CUARTO.- Dar copia de traslado a fin de que el área competente de ese Instituto inicie las averiguaciones vinculadas con la denuncia aquí adjunta, la cual cumple con todas las formalidades señaladas en la Ley.” (Sic).</w:t>
      </w:r>
    </w:p>
    <w:p w:rsidR="00E71F88" w:rsidRPr="00CE7631" w:rsidRDefault="00E71F88" w:rsidP="00E922BD">
      <w:pPr>
        <w:pStyle w:val="Prrafodelista"/>
        <w:spacing w:before="240" w:after="240" w:line="360" w:lineRule="auto"/>
        <w:ind w:left="360" w:right="900"/>
        <w:jc w:val="both"/>
        <w:rPr>
          <w:rFonts w:ascii="Palatino Linotype" w:hAnsi="Palatino Linotype" w:cs="Arial"/>
          <w:sz w:val="24"/>
          <w:szCs w:val="24"/>
        </w:rPr>
      </w:pPr>
    </w:p>
    <w:p w:rsidR="009C04C7" w:rsidRPr="00CE7631" w:rsidRDefault="00F92351" w:rsidP="00E922BD">
      <w:pPr>
        <w:pStyle w:val="Prrafodelista"/>
        <w:numPr>
          <w:ilvl w:val="0"/>
          <w:numId w:val="1"/>
        </w:numPr>
        <w:spacing w:after="0" w:line="360" w:lineRule="auto"/>
        <w:ind w:left="0" w:firstLine="0"/>
        <w:jc w:val="both"/>
        <w:rPr>
          <w:rFonts w:ascii="Palatino Linotype" w:hAnsi="Palatino Linotype" w:cs="Arial"/>
          <w:i/>
          <w:sz w:val="24"/>
          <w:szCs w:val="24"/>
        </w:rPr>
      </w:pPr>
      <w:r w:rsidRPr="00CE7631">
        <w:rPr>
          <w:rFonts w:ascii="Palatino Linotype" w:hAnsi="Palatino Linotype" w:cs="Arial"/>
          <w:sz w:val="24"/>
          <w:szCs w:val="24"/>
        </w:rPr>
        <w:t xml:space="preserve">Por su parte, el Sujeto Obligado remitió el informe justificado correspondiente, </w:t>
      </w:r>
      <w:r w:rsidR="00EC68E3" w:rsidRPr="00CE7631">
        <w:rPr>
          <w:rFonts w:ascii="Palatino Linotype" w:hAnsi="Palatino Linotype" w:cs="Arial"/>
          <w:sz w:val="24"/>
          <w:szCs w:val="24"/>
        </w:rPr>
        <w:t>sin embargo, por medio de las documentales remitidas ratifica</w:t>
      </w:r>
      <w:r w:rsidRPr="00CE7631">
        <w:rPr>
          <w:rFonts w:ascii="Palatino Linotype" w:hAnsi="Palatino Linotype" w:cs="Arial"/>
          <w:sz w:val="24"/>
          <w:szCs w:val="24"/>
        </w:rPr>
        <w:t xml:space="preserve"> su respuesta inicialmente vertida</w:t>
      </w:r>
      <w:r w:rsidR="00EC68E3" w:rsidRPr="00CE7631">
        <w:rPr>
          <w:rFonts w:ascii="Palatino Linotype" w:hAnsi="Palatino Linotype" w:cs="Arial"/>
          <w:sz w:val="24"/>
          <w:szCs w:val="24"/>
        </w:rPr>
        <w:t>.</w:t>
      </w:r>
    </w:p>
    <w:p w:rsidR="009C04C7" w:rsidRPr="00CE7631" w:rsidRDefault="009C04C7" w:rsidP="00E922BD">
      <w:pPr>
        <w:pStyle w:val="Prrafodelista"/>
        <w:spacing w:line="360" w:lineRule="auto"/>
        <w:rPr>
          <w:rFonts w:ascii="Palatino Linotype" w:hAnsi="Palatino Linotype" w:cs="Arial"/>
          <w:i/>
          <w:sz w:val="24"/>
          <w:szCs w:val="24"/>
        </w:rPr>
      </w:pPr>
    </w:p>
    <w:p w:rsidR="00184DBC" w:rsidRDefault="00EC68E3" w:rsidP="009844AE">
      <w:pPr>
        <w:pStyle w:val="Prrafodelista"/>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2" w:name="_Toc499289482"/>
      <w:bookmarkStart w:id="3" w:name="_Toc535857753"/>
      <w:r w:rsidRPr="00CE7631">
        <w:rPr>
          <w:rFonts w:ascii="Palatino Linotype" w:eastAsiaTheme="majorEastAsia" w:hAnsi="Palatino Linotype" w:cs="Arial"/>
          <w:b/>
          <w:iCs/>
          <w:color w:val="000000" w:themeColor="text1"/>
          <w:sz w:val="24"/>
          <w:szCs w:val="24"/>
        </w:rPr>
        <w:lastRenderedPageBreak/>
        <w:t>El derecho de acceso a la información pública.</w:t>
      </w:r>
      <w:bookmarkEnd w:id="2"/>
      <w:bookmarkEnd w:id="3"/>
      <w:r w:rsidRPr="00CE7631">
        <w:rPr>
          <w:rFonts w:ascii="Palatino Linotype" w:eastAsiaTheme="majorEastAsia" w:hAnsi="Palatino Linotype" w:cs="Arial"/>
          <w:b/>
          <w:iCs/>
          <w:color w:val="000000" w:themeColor="text1"/>
          <w:sz w:val="24"/>
          <w:szCs w:val="24"/>
        </w:rPr>
        <w:t xml:space="preserve"> </w:t>
      </w:r>
    </w:p>
    <w:p w:rsidR="00F154C8" w:rsidRPr="009844AE" w:rsidRDefault="00F154C8" w:rsidP="00F154C8">
      <w:pPr>
        <w:pStyle w:val="Prrafodelista"/>
        <w:keepNext/>
        <w:keepLines/>
        <w:spacing w:before="40" w:after="0" w:line="360" w:lineRule="auto"/>
        <w:ind w:left="0"/>
        <w:outlineLvl w:val="1"/>
        <w:rPr>
          <w:rFonts w:ascii="Palatino Linotype" w:eastAsiaTheme="majorEastAsia" w:hAnsi="Palatino Linotype" w:cs="Arial"/>
          <w:b/>
          <w:iCs/>
          <w:color w:val="000000" w:themeColor="text1"/>
          <w:sz w:val="24"/>
          <w:szCs w:val="24"/>
        </w:rPr>
      </w:pPr>
    </w:p>
    <w:p w:rsidR="00EC68E3" w:rsidRPr="00CE7631" w:rsidRDefault="00EC68E3" w:rsidP="00E922BD">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CE7631">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Constitución del Estado de México. Ya sea que entendamos a los derechos como realidades positivas que forman parte de </w:t>
      </w:r>
      <w:r w:rsidRPr="00CE7631">
        <w:rPr>
          <w:rFonts w:ascii="Palatino Linotype" w:eastAsia="Calibri" w:hAnsi="Palatino Linotype" w:cs="Arial"/>
          <w:i/>
          <w:color w:val="000000" w:themeColor="text1"/>
          <w:sz w:val="24"/>
          <w:szCs w:val="24"/>
          <w:lang w:val="es-ES" w:eastAsia="es-ES"/>
        </w:rPr>
        <w:t>la esfera de lo indecidible que</w:t>
      </w:r>
      <w:r w:rsidRPr="00CE7631">
        <w:rPr>
          <w:rFonts w:ascii="Palatino Linotype" w:eastAsia="Calibri" w:hAnsi="Palatino Linotype" w:cs="Arial"/>
          <w:color w:val="000000" w:themeColor="text1"/>
          <w:sz w:val="24"/>
          <w:szCs w:val="24"/>
          <w:lang w:val="es-ES" w:eastAsia="es-ES"/>
        </w:rPr>
        <w:t xml:space="preserve"> o de</w:t>
      </w:r>
      <w:r w:rsidRPr="00CE7631">
        <w:rPr>
          <w:rFonts w:ascii="Palatino Linotype" w:eastAsia="Calibri" w:hAnsi="Palatino Linotype" w:cs="Arial"/>
          <w:i/>
          <w:color w:val="000000" w:themeColor="text1"/>
          <w:sz w:val="24"/>
          <w:szCs w:val="24"/>
          <w:lang w:val="es-ES" w:eastAsia="es-ES"/>
        </w:rPr>
        <w:t xml:space="preserve"> lo indecidible que no</w:t>
      </w:r>
      <w:r w:rsidRPr="00CE7631">
        <w:rPr>
          <w:rFonts w:ascii="Palatino Linotype" w:eastAsia="Calibri" w:hAnsi="Palatino Linotype"/>
          <w:i/>
          <w:sz w:val="24"/>
          <w:szCs w:val="24"/>
          <w:vertAlign w:val="superscript"/>
          <w:lang w:val="es-ES" w:eastAsia="es-ES"/>
        </w:rPr>
        <w:footnoteReference w:id="1"/>
      </w:r>
      <w:r w:rsidRPr="00CE7631">
        <w:rPr>
          <w:rFonts w:ascii="Palatino Linotype" w:eastAsia="Calibri" w:hAnsi="Palatino Linotype" w:cs="Arial"/>
          <w:color w:val="000000" w:themeColor="text1"/>
          <w:sz w:val="24"/>
          <w:szCs w:val="24"/>
          <w:lang w:val="es-ES" w:eastAsia="es-ES"/>
        </w:rPr>
        <w:t xml:space="preserve"> o bien como principios que constituyen </w:t>
      </w:r>
      <w:r w:rsidRPr="00CE7631">
        <w:rPr>
          <w:rFonts w:ascii="Palatino Linotype" w:eastAsia="Calibri" w:hAnsi="Palatino Linotype" w:cs="Arial"/>
          <w:i/>
          <w:color w:val="000000" w:themeColor="text1"/>
          <w:sz w:val="24"/>
          <w:szCs w:val="24"/>
          <w:lang w:val="es-ES" w:eastAsia="es-ES"/>
        </w:rPr>
        <w:t>mandatos de optimización</w:t>
      </w:r>
      <w:r w:rsidRPr="00CE7631">
        <w:rPr>
          <w:rFonts w:ascii="Palatino Linotype" w:eastAsia="Calibri" w:hAnsi="Palatino Linotype" w:cs="Arial"/>
          <w:color w:val="000000" w:themeColor="text1"/>
          <w:sz w:val="24"/>
          <w:szCs w:val="24"/>
          <w:lang w:val="es-ES" w:eastAsia="es-ES"/>
        </w:rPr>
        <w:t>,</w:t>
      </w:r>
      <w:r w:rsidRPr="00CE7631">
        <w:rPr>
          <w:rFonts w:ascii="Palatino Linotype" w:eastAsia="Calibri" w:hAnsi="Palatino Linotype"/>
          <w:sz w:val="24"/>
          <w:szCs w:val="24"/>
          <w:vertAlign w:val="superscript"/>
          <w:lang w:val="es-ES" w:eastAsia="es-ES"/>
        </w:rPr>
        <w:footnoteReference w:id="2"/>
      </w:r>
      <w:r w:rsidRPr="00CE7631">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EC68E3" w:rsidRPr="00CE7631" w:rsidRDefault="00EC68E3" w:rsidP="00E922BD">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eastAsia="Calibri" w:hAnsi="Palatino Linotype" w:cs="Arial"/>
          <w:color w:val="000000" w:themeColor="text1"/>
          <w:sz w:val="24"/>
          <w:szCs w:val="24"/>
          <w:lang w:val="es-ES" w:eastAsia="es-ES"/>
        </w:rPr>
        <w:lastRenderedPageBreak/>
        <w:t xml:space="preserve">En ese sentido es necesario referir la definición del Derecho de Acceso a la Información, siendo que es </w:t>
      </w:r>
      <w:r w:rsidRPr="00CE7631">
        <w:rPr>
          <w:rFonts w:ascii="Palatino Linotype" w:eastAsia="Times New Roman" w:hAnsi="Palatino Linotype" w:cs="Arial"/>
          <w:sz w:val="24"/>
          <w:szCs w:val="24"/>
          <w:lang w:eastAsia="es-MX"/>
        </w:rPr>
        <w:t xml:space="preserve">la </w:t>
      </w:r>
      <w:r w:rsidRPr="00CE7631">
        <w:rPr>
          <w:rFonts w:ascii="Palatino Linotype" w:eastAsia="MS Mincho" w:hAnsi="Palatino Linotype" w:cs="Times New Roman"/>
          <w:i/>
          <w:sz w:val="24"/>
          <w:szCs w:val="24"/>
        </w:rPr>
        <w:t>igualdad de oportunidades para recibir, buscar e impartir información</w:t>
      </w:r>
      <w:r w:rsidRPr="00CE7631">
        <w:rPr>
          <w:rStyle w:val="Refdenotaalpie"/>
          <w:rFonts w:ascii="Palatino Linotype" w:eastAsia="MS Mincho" w:hAnsi="Palatino Linotype" w:cs="Times New Roman"/>
          <w:i/>
          <w:sz w:val="24"/>
          <w:szCs w:val="24"/>
        </w:rPr>
        <w:footnoteReference w:id="3"/>
      </w:r>
      <w:r w:rsidRPr="00CE7631">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E7631">
        <w:rPr>
          <w:rStyle w:val="Refdenotaalpie"/>
          <w:rFonts w:ascii="Palatino Linotype" w:eastAsia="MS Mincho" w:hAnsi="Palatino Linotype" w:cs="Times New Roman"/>
          <w:sz w:val="24"/>
          <w:szCs w:val="24"/>
        </w:rPr>
        <w:footnoteReference w:id="4"/>
      </w:r>
      <w:r w:rsidRPr="00CE7631">
        <w:rPr>
          <w:rFonts w:ascii="Palatino Linotype" w:eastAsia="MS Mincho" w:hAnsi="Palatino Linotype" w:cs="Times New Roman"/>
          <w:i/>
          <w:sz w:val="24"/>
          <w:szCs w:val="24"/>
        </w:rPr>
        <w:t xml:space="preserve"> </w:t>
      </w:r>
      <w:r w:rsidRPr="00CE7631">
        <w:rPr>
          <w:rFonts w:ascii="Palatino Linotype" w:eastAsia="MS Mincho" w:hAnsi="Palatino Linotype" w:cs="Times New Roman"/>
          <w:sz w:val="24"/>
          <w:szCs w:val="24"/>
        </w:rPr>
        <w:t xml:space="preserve">que se constituye como una herramienta fundamental para </w:t>
      </w:r>
      <w:r w:rsidRPr="00CE7631">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CE7631">
        <w:rPr>
          <w:rStyle w:val="Refdenotaalpie"/>
          <w:rFonts w:ascii="Palatino Linotype" w:eastAsia="MS Mincho" w:hAnsi="Palatino Linotype" w:cs="Times New Roman"/>
          <w:i/>
          <w:sz w:val="24"/>
          <w:szCs w:val="24"/>
        </w:rPr>
        <w:footnoteReference w:id="5"/>
      </w:r>
      <w:r w:rsidRPr="00CE7631">
        <w:rPr>
          <w:rFonts w:ascii="Palatino Linotype" w:eastAsia="MS Mincho" w:hAnsi="Palatino Linotype" w:cs="Times New Roman"/>
          <w:sz w:val="24"/>
          <w:szCs w:val="24"/>
        </w:rPr>
        <w:t>fomentando</w:t>
      </w:r>
      <w:r w:rsidRPr="00CE7631">
        <w:rPr>
          <w:rFonts w:ascii="Palatino Linotype" w:eastAsia="MS Mincho" w:hAnsi="Palatino Linotype" w:cs="Times New Roman"/>
          <w:i/>
          <w:sz w:val="24"/>
          <w:szCs w:val="24"/>
        </w:rPr>
        <w:t xml:space="preserve"> la transparencia de las actividades estatales y</w:t>
      </w:r>
      <w:r w:rsidRPr="00CE7631">
        <w:rPr>
          <w:rFonts w:ascii="Palatino Linotype" w:eastAsia="MS Mincho" w:hAnsi="Palatino Linotype" w:cs="Times New Roman"/>
          <w:sz w:val="24"/>
          <w:szCs w:val="24"/>
        </w:rPr>
        <w:t xml:space="preserve"> promoviendo</w:t>
      </w:r>
      <w:r w:rsidRPr="00CE7631">
        <w:rPr>
          <w:rFonts w:ascii="Palatino Linotype" w:eastAsia="MS Mincho" w:hAnsi="Palatino Linotype" w:cs="Times New Roman"/>
          <w:i/>
          <w:sz w:val="24"/>
          <w:szCs w:val="24"/>
        </w:rPr>
        <w:t xml:space="preserve"> la responsabilidad de los funcionarios sobre su gestión pública </w:t>
      </w:r>
      <w:r w:rsidRPr="00CE7631">
        <w:rPr>
          <w:rFonts w:ascii="Palatino Linotype" w:eastAsia="MS Mincho" w:hAnsi="Palatino Linotype" w:cs="Times New Roman"/>
          <w:sz w:val="24"/>
          <w:szCs w:val="24"/>
        </w:rPr>
        <w:t>que permite</w:t>
      </w:r>
      <w:r w:rsidRPr="00CE7631">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CE7631">
        <w:rPr>
          <w:rStyle w:val="Refdenotaalpie"/>
          <w:rFonts w:ascii="Palatino Linotype" w:eastAsia="MS Mincho" w:hAnsi="Palatino Linotype" w:cs="Times New Roman"/>
          <w:i/>
          <w:sz w:val="24"/>
          <w:szCs w:val="24"/>
        </w:rPr>
        <w:footnoteReference w:id="6"/>
      </w:r>
      <w:r w:rsidRPr="00CE7631">
        <w:rPr>
          <w:rFonts w:ascii="Palatino Linotype" w:eastAsia="MS Mincho" w:hAnsi="Palatino Linotype" w:cs="Times New Roman"/>
          <w:sz w:val="24"/>
          <w:szCs w:val="24"/>
        </w:rPr>
        <w:t xml:space="preserve"> ”.</w:t>
      </w:r>
    </w:p>
    <w:p w:rsidR="00EC68E3" w:rsidRPr="00CE7631" w:rsidRDefault="00EC68E3" w:rsidP="00E922BD">
      <w:pPr>
        <w:spacing w:before="240" w:after="0" w:line="360" w:lineRule="auto"/>
        <w:contextualSpacing/>
        <w:jc w:val="both"/>
        <w:rPr>
          <w:rFonts w:ascii="Palatino Linotype" w:hAnsi="Palatino Linotype" w:cs="Arial"/>
          <w:color w:val="000000" w:themeColor="text1"/>
          <w:sz w:val="24"/>
          <w:szCs w:val="24"/>
        </w:rPr>
      </w:pPr>
    </w:p>
    <w:p w:rsidR="00EC68E3" w:rsidRDefault="00EC68E3" w:rsidP="009844AE">
      <w:pPr>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4" w:name="_Toc535857754"/>
      <w:r w:rsidRPr="00CE7631">
        <w:rPr>
          <w:rFonts w:ascii="Palatino Linotype" w:eastAsiaTheme="majorEastAsia" w:hAnsi="Palatino Linotype" w:cs="Arial"/>
          <w:b/>
          <w:iCs/>
          <w:color w:val="000000" w:themeColor="text1"/>
          <w:sz w:val="24"/>
          <w:szCs w:val="24"/>
        </w:rPr>
        <w:lastRenderedPageBreak/>
        <w:t>Las garantías primarias del derecho de acceso a la información pública.</w:t>
      </w:r>
      <w:bookmarkEnd w:id="4"/>
    </w:p>
    <w:p w:rsidR="00F154C8" w:rsidRPr="009844AE" w:rsidRDefault="00F154C8" w:rsidP="00F154C8">
      <w:pPr>
        <w:keepNext/>
        <w:keepLines/>
        <w:spacing w:before="40" w:after="0" w:line="360" w:lineRule="auto"/>
        <w:outlineLvl w:val="1"/>
        <w:rPr>
          <w:rFonts w:ascii="Palatino Linotype" w:eastAsiaTheme="majorEastAsia" w:hAnsi="Palatino Linotype" w:cs="Arial"/>
          <w:b/>
          <w:iCs/>
          <w:color w:val="000000" w:themeColor="text1"/>
          <w:sz w:val="24"/>
          <w:szCs w:val="24"/>
        </w:rPr>
      </w:pPr>
    </w:p>
    <w:p w:rsidR="00EC68E3" w:rsidRPr="00CE7631" w:rsidRDefault="00EC68E3" w:rsidP="00E922BD">
      <w:pPr>
        <w:numPr>
          <w:ilvl w:val="0"/>
          <w:numId w:val="1"/>
        </w:numPr>
        <w:spacing w:before="240" w:after="0" w:line="360" w:lineRule="auto"/>
        <w:ind w:left="0" w:firstLine="0"/>
        <w:contextualSpacing/>
        <w:jc w:val="both"/>
        <w:rPr>
          <w:rFonts w:ascii="Palatino Linotype" w:hAnsi="Palatino Linotype" w:cs="Arial"/>
          <w:i/>
          <w:color w:val="000000" w:themeColor="text1"/>
          <w:sz w:val="24"/>
          <w:szCs w:val="24"/>
        </w:rPr>
      </w:pPr>
      <w:r w:rsidRPr="00CE7631">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CE7631">
        <w:rPr>
          <w:rFonts w:ascii="Palatino Linotype" w:hAnsi="Palatino Linotype" w:cs="Arial"/>
          <w:i/>
          <w:color w:val="000000" w:themeColor="text1"/>
          <w:sz w:val="24"/>
          <w:szCs w:val="24"/>
        </w:rPr>
        <w:t>las</w:t>
      </w:r>
      <w:r w:rsidRPr="00CE7631">
        <w:rPr>
          <w:rFonts w:ascii="Palatino Linotype" w:hAnsi="Palatino Linotype" w:cs="Arial"/>
          <w:color w:val="000000" w:themeColor="text1"/>
          <w:sz w:val="24"/>
          <w:szCs w:val="24"/>
        </w:rPr>
        <w:t xml:space="preserve"> </w:t>
      </w:r>
      <w:r w:rsidRPr="00CE7631">
        <w:rPr>
          <w:rFonts w:ascii="Palatino Linotype" w:hAnsi="Palatino Linotype" w:cs="Arial"/>
          <w:i/>
          <w:color w:val="000000" w:themeColor="text1"/>
          <w:sz w:val="24"/>
          <w:szCs w:val="24"/>
        </w:rPr>
        <w:t>obligaciones o prohibiciones inmediatamente correlativas a los derechos establecidos en las constituciones</w:t>
      </w:r>
      <w:r w:rsidRPr="00CE7631">
        <w:rPr>
          <w:rFonts w:ascii="Palatino Linotype" w:hAnsi="Palatino Linotype" w:cs="Arial"/>
          <w:i/>
          <w:color w:val="000000" w:themeColor="text1"/>
          <w:sz w:val="24"/>
          <w:szCs w:val="24"/>
          <w:vertAlign w:val="superscript"/>
        </w:rPr>
        <w:footnoteReference w:id="7"/>
      </w:r>
      <w:r w:rsidRPr="00CE7631">
        <w:rPr>
          <w:rFonts w:ascii="Palatino Linotype" w:hAnsi="Palatino Linotype" w:cs="Arial"/>
          <w:color w:val="000000" w:themeColor="text1"/>
          <w:sz w:val="24"/>
          <w:szCs w:val="24"/>
        </w:rPr>
        <w:t xml:space="preserve"> o bien </w:t>
      </w:r>
      <w:r w:rsidRPr="00CE7631">
        <w:rPr>
          <w:rFonts w:ascii="Palatino Linotype" w:hAnsi="Palatino Linotype" w:cs="Arial"/>
          <w:i/>
          <w:color w:val="000000" w:themeColor="text1"/>
          <w:sz w:val="24"/>
          <w:szCs w:val="24"/>
        </w:rPr>
        <w:t>como la suma de las garantías positivas y de las garantías negativas,</w:t>
      </w:r>
      <w:r w:rsidRPr="00CE7631">
        <w:rPr>
          <w:rFonts w:ascii="Palatino Linotype" w:hAnsi="Palatino Linotype" w:cs="Arial"/>
          <w:i/>
          <w:color w:val="000000" w:themeColor="text1"/>
          <w:sz w:val="24"/>
          <w:szCs w:val="24"/>
          <w:vertAlign w:val="superscript"/>
        </w:rPr>
        <w:footnoteReference w:id="8"/>
      </w:r>
      <w:r w:rsidRPr="00CE7631">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CE7631">
        <w:rPr>
          <w:rFonts w:ascii="Palatino Linotype" w:hAnsi="Palatino Linotype" w:cs="Arial"/>
          <w:i/>
          <w:color w:val="000000" w:themeColor="text1"/>
          <w:sz w:val="24"/>
          <w:szCs w:val="24"/>
        </w:rPr>
        <w:t xml:space="preserve">el procedimiento de acceso a la información pública es la garantía del derecho en cuestión. </w:t>
      </w:r>
    </w:p>
    <w:p w:rsidR="00B71899" w:rsidRPr="00CE7631" w:rsidRDefault="00B71899" w:rsidP="00E922BD">
      <w:pPr>
        <w:spacing w:before="240" w:after="0" w:line="360" w:lineRule="auto"/>
        <w:contextualSpacing/>
        <w:jc w:val="both"/>
        <w:rPr>
          <w:rFonts w:ascii="Palatino Linotype" w:hAnsi="Palatino Linotype" w:cs="Arial"/>
          <w:i/>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Por lo tanto, cuando </w:t>
      </w:r>
      <w:r w:rsidRPr="00CE7631">
        <w:rPr>
          <w:rFonts w:ascii="Palatino Linotype" w:hAnsi="Palatino Linotype" w:cs="Arial"/>
          <w:b/>
          <w:color w:val="000000" w:themeColor="text1"/>
          <w:sz w:val="24"/>
          <w:szCs w:val="24"/>
        </w:rPr>
        <w:t>el particular</w:t>
      </w:r>
      <w:r w:rsidRPr="00CE7631">
        <w:rPr>
          <w:rFonts w:ascii="Palatino Linotype" w:hAnsi="Palatino Linotype" w:cs="Arial"/>
          <w:color w:val="000000" w:themeColor="text1"/>
          <w:sz w:val="24"/>
          <w:szCs w:val="24"/>
        </w:rPr>
        <w:t xml:space="preserve">, presentó la solicitud de acceso a la información pública ante el Sujeto Obligado, ejerció el derecho en cuestión a través de su garantía primaria depositada en la autoridad quien, por mandato categórico </w:t>
      </w:r>
      <w:r w:rsidRPr="00CE7631">
        <w:rPr>
          <w:rFonts w:ascii="Palatino Linotype" w:hAnsi="Palatino Linotype" w:cs="Arial"/>
          <w:color w:val="000000" w:themeColor="text1"/>
          <w:sz w:val="24"/>
          <w:szCs w:val="24"/>
        </w:rPr>
        <w:lastRenderedPageBreak/>
        <w:t>del tercer párrafo del artículo primero de la Constitución Federal</w:t>
      </w:r>
      <w:r w:rsidRPr="00CE7631">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CE7631">
        <w:rPr>
          <w:rFonts w:ascii="Palatino Linotype" w:eastAsia="Calibri" w:hAnsi="Palatino Linotype" w:cs="Arial"/>
          <w:b/>
          <w:color w:val="000000" w:themeColor="text1"/>
          <w:sz w:val="24"/>
          <w:szCs w:val="24"/>
          <w:lang w:val="es-ES" w:eastAsia="es-ES"/>
        </w:rPr>
        <w:t>“promover, respetar, proteger y garantizar los derechos humanos</w:t>
      </w:r>
      <w:r w:rsidRPr="00CE7631">
        <w:rPr>
          <w:rFonts w:ascii="Palatino Linotype" w:eastAsia="Calibri" w:hAnsi="Palatino Linotype" w:cs="Arial"/>
          <w:color w:val="000000" w:themeColor="text1"/>
          <w:sz w:val="24"/>
          <w:szCs w:val="24"/>
          <w:lang w:val="es-ES" w:eastAsia="es-ES"/>
        </w:rPr>
        <w:t>”, entre los cuales se encuentra el de acceso a la información.</w:t>
      </w:r>
    </w:p>
    <w:p w:rsidR="00EC68E3" w:rsidRPr="00CE7631" w:rsidRDefault="00EC68E3" w:rsidP="00E922BD">
      <w:pPr>
        <w:spacing w:line="360" w:lineRule="auto"/>
        <w:contextualSpacing/>
        <w:rPr>
          <w:rFonts w:ascii="Palatino Linotype" w:hAnsi="Palatino Linotype" w:cs="Arial"/>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el caso que se resuelve, </w:t>
      </w:r>
      <w:r w:rsidRPr="00CE7631">
        <w:rPr>
          <w:rFonts w:ascii="Palatino Linotype" w:hAnsi="Palatino Linotype" w:cs="Arial"/>
          <w:b/>
          <w:color w:val="000000" w:themeColor="text1"/>
          <w:sz w:val="24"/>
          <w:szCs w:val="24"/>
        </w:rPr>
        <w:t>el recurrente</w:t>
      </w:r>
      <w:r w:rsidR="00476367">
        <w:rPr>
          <w:rFonts w:ascii="Palatino Linotype" w:hAnsi="Palatino Linotype" w:cs="Arial"/>
          <w:color w:val="000000" w:themeColor="text1"/>
          <w:sz w:val="24"/>
          <w:szCs w:val="24"/>
        </w:rPr>
        <w:t xml:space="preserve"> señaló Copias Certificadas</w:t>
      </w:r>
      <w:r w:rsidRPr="00CE7631">
        <w:rPr>
          <w:rFonts w:ascii="Palatino Linotype" w:hAnsi="Palatino Linotype" w:cs="Arial"/>
          <w:color w:val="000000" w:themeColor="text1"/>
          <w:sz w:val="24"/>
          <w:szCs w:val="24"/>
        </w:rPr>
        <w:t xml:space="preserve"> (con costo) la forma en la que requiere acceder a la información solicitada, según lo establece el artículo 155 fracción V de la Ley de Transparencia y Acceso a la Información Pública del Estado de México y Municipios, y en estricto sentido, la persona que desea acceder a la información, al elegir una modalidad de e</w:t>
      </w:r>
      <w:r w:rsidR="00523DD8">
        <w:rPr>
          <w:rFonts w:ascii="Palatino Linotype" w:hAnsi="Palatino Linotype" w:cs="Arial"/>
          <w:color w:val="000000" w:themeColor="text1"/>
          <w:sz w:val="24"/>
          <w:szCs w:val="24"/>
        </w:rPr>
        <w:t>ntrega que genere un costo como se advierte en el presente caso</w:t>
      </w:r>
      <w:r w:rsidRPr="00CE7631">
        <w:rPr>
          <w:rFonts w:ascii="Palatino Linotype" w:hAnsi="Palatino Linotype" w:cs="Arial"/>
          <w:color w:val="000000" w:themeColor="text1"/>
          <w:sz w:val="24"/>
          <w:szCs w:val="24"/>
        </w:rPr>
        <w:t xml:space="preserve">, deberá cubrir el mismo, para que le sea entregada la información que requiere, sin embargo, el </w:t>
      </w:r>
      <w:r w:rsidRPr="00CE7631">
        <w:rPr>
          <w:rFonts w:ascii="Palatino Linotype" w:hAnsi="Palatino Linotype" w:cs="Arial"/>
          <w:b/>
          <w:color w:val="000000" w:themeColor="text1"/>
          <w:sz w:val="24"/>
          <w:szCs w:val="24"/>
        </w:rPr>
        <w:t>Sujeto Obligado</w:t>
      </w:r>
      <w:r w:rsidRPr="00CE7631">
        <w:rPr>
          <w:rFonts w:ascii="Palatino Linotype" w:hAnsi="Palatino Linotype" w:cs="Arial"/>
          <w:color w:val="000000" w:themeColor="text1"/>
          <w:sz w:val="24"/>
          <w:szCs w:val="24"/>
        </w:rPr>
        <w:t>, al señalar la inexistencia del documento al que se requiere acceder muestra un comportamiento negligente provocando una afectación a este derecho, entonces al demostrar que el documento efectivamente existe y se encuentra en su posesión, para reparar la afectación provocada es responsable de cubrir los costos de reproducción y envío.</w:t>
      </w:r>
    </w:p>
    <w:p w:rsidR="00EC68E3" w:rsidRPr="00CE7631" w:rsidRDefault="00EC68E3" w:rsidP="00E922BD">
      <w:pPr>
        <w:pStyle w:val="Prrafodelista"/>
        <w:spacing w:line="360" w:lineRule="auto"/>
        <w:ind w:left="0"/>
        <w:rPr>
          <w:rFonts w:ascii="Palatino Linotype" w:hAnsi="Palatino Linotype" w:cs="Arial"/>
          <w:color w:val="000000" w:themeColor="text1"/>
          <w:sz w:val="24"/>
          <w:szCs w:val="24"/>
        </w:rPr>
      </w:pPr>
    </w:p>
    <w:p w:rsidR="00EC68E3" w:rsidRPr="00CE7631" w:rsidRDefault="004E38BF"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sz w:val="24"/>
          <w:szCs w:val="24"/>
        </w:rPr>
        <w:lastRenderedPageBreak/>
        <w:t xml:space="preserve">En los casos que los particulares soliciten la información en un </w:t>
      </w:r>
      <w:r w:rsidR="00B71899" w:rsidRPr="00CE7631">
        <w:rPr>
          <w:rFonts w:ascii="Palatino Linotype" w:hAnsi="Palatino Linotype"/>
          <w:sz w:val="24"/>
          <w:szCs w:val="24"/>
        </w:rPr>
        <w:t>m</w:t>
      </w:r>
      <w:r w:rsidRPr="00CE7631">
        <w:rPr>
          <w:rFonts w:ascii="Palatino Linotype" w:hAnsi="Palatino Linotype"/>
          <w:sz w:val="24"/>
          <w:szCs w:val="24"/>
        </w:rPr>
        <w:t>edio que genere algún costo, para tener acceso a dicha información deberán cubrir previamente el monto establecido por la normatividad aplicable;</w:t>
      </w:r>
      <w:r w:rsidR="00EC68E3" w:rsidRPr="00CE7631">
        <w:rPr>
          <w:rFonts w:ascii="Palatino Linotype" w:hAnsi="Palatino Linotype"/>
          <w:sz w:val="24"/>
          <w:szCs w:val="24"/>
        </w:rPr>
        <w:t xml:space="preserve"> siempre y cuando el Sujeto Obligado en cumplimiento de sus obligaciones respete, promueva y garantice el derecho de acceso a la información, lo que desafortunadamente en el presente caso no sucedió.</w:t>
      </w:r>
    </w:p>
    <w:p w:rsidR="00EC68E3" w:rsidRPr="00CE7631" w:rsidRDefault="00EC68E3" w:rsidP="00E922BD">
      <w:pPr>
        <w:keepNext/>
        <w:keepLines/>
        <w:spacing w:before="40" w:after="0" w:line="360" w:lineRule="auto"/>
        <w:contextualSpacing/>
        <w:jc w:val="both"/>
        <w:outlineLvl w:val="1"/>
        <w:rPr>
          <w:rFonts w:ascii="Palatino Linotype" w:eastAsiaTheme="majorEastAsia" w:hAnsi="Palatino Linotype" w:cs="Arial"/>
          <w:color w:val="2E74B5" w:themeColor="accent1" w:themeShade="BF"/>
          <w:sz w:val="24"/>
          <w:szCs w:val="24"/>
        </w:rPr>
      </w:pPr>
    </w:p>
    <w:p w:rsidR="00EC68E3" w:rsidRDefault="00EC68E3" w:rsidP="009844AE">
      <w:pPr>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5" w:name="_Toc535857755"/>
      <w:r w:rsidRPr="00CE7631">
        <w:rPr>
          <w:rFonts w:ascii="Palatino Linotype" w:eastAsiaTheme="majorEastAsia" w:hAnsi="Palatino Linotype" w:cs="Arial"/>
          <w:b/>
          <w:iCs/>
          <w:color w:val="000000" w:themeColor="text1"/>
          <w:sz w:val="24"/>
          <w:szCs w:val="24"/>
        </w:rPr>
        <w:t>La garantía secundaria del derecho de acceso a la información pública.</w:t>
      </w:r>
      <w:bookmarkEnd w:id="5"/>
    </w:p>
    <w:p w:rsidR="00F154C8" w:rsidRPr="009844AE" w:rsidRDefault="00F154C8" w:rsidP="00F154C8">
      <w:pPr>
        <w:keepNext/>
        <w:keepLines/>
        <w:spacing w:before="40" w:after="0" w:line="360" w:lineRule="auto"/>
        <w:outlineLvl w:val="1"/>
        <w:rPr>
          <w:rFonts w:ascii="Palatino Linotype" w:eastAsiaTheme="majorEastAsia" w:hAnsi="Palatino Linotype" w:cs="Arial"/>
          <w:b/>
          <w:iCs/>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CE7631">
        <w:rPr>
          <w:rFonts w:ascii="Palatino Linotype" w:hAnsi="Palatino Linotype" w:cs="Arial"/>
          <w:i/>
          <w:color w:val="000000" w:themeColor="text1"/>
          <w:sz w:val="24"/>
          <w:szCs w:val="24"/>
        </w:rPr>
        <w:t>investigar, sancionar y reparar</w:t>
      </w:r>
      <w:r w:rsidRPr="00CE7631">
        <w:rPr>
          <w:rFonts w:ascii="Palatino Linotype" w:hAnsi="Palatino Linotype" w:cs="Arial"/>
          <w:color w:val="000000" w:themeColor="text1"/>
          <w:sz w:val="24"/>
          <w:szCs w:val="24"/>
        </w:rPr>
        <w:t xml:space="preserve"> sus violaciones. </w:t>
      </w:r>
    </w:p>
    <w:p w:rsidR="001A103E" w:rsidRPr="00CE7631" w:rsidRDefault="001A103E" w:rsidP="00E922BD">
      <w:pPr>
        <w:spacing w:after="0" w:line="360" w:lineRule="auto"/>
        <w:contextualSpacing/>
        <w:jc w:val="both"/>
        <w:rPr>
          <w:rFonts w:ascii="Palatino Linotype" w:hAnsi="Palatino Linotype" w:cs="Arial"/>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Las propias obligaciones internacionales adquiridas por el Estado Mexicano  determinan que nuestro país cuente con un procedimiento sencillo, rápido</w:t>
      </w:r>
      <w:r w:rsidRPr="00CE7631">
        <w:rPr>
          <w:rFonts w:ascii="Palatino Linotype" w:hAnsi="Palatino Linotype" w:cs="Arial"/>
          <w:color w:val="000000" w:themeColor="text1"/>
          <w:sz w:val="24"/>
          <w:szCs w:val="24"/>
          <w:vertAlign w:val="superscript"/>
        </w:rPr>
        <w:footnoteReference w:id="9"/>
      </w:r>
      <w:r w:rsidRPr="00CE7631">
        <w:rPr>
          <w:rFonts w:ascii="Palatino Linotype" w:hAnsi="Palatino Linotype" w:cs="Arial"/>
          <w:color w:val="000000" w:themeColor="text1"/>
          <w:sz w:val="24"/>
          <w:szCs w:val="24"/>
        </w:rPr>
        <w:t xml:space="preserve"> y  efectivo</w:t>
      </w:r>
      <w:r w:rsidRPr="00CE7631">
        <w:rPr>
          <w:rFonts w:ascii="Palatino Linotype" w:hAnsi="Palatino Linotype" w:cs="Arial"/>
          <w:color w:val="000000" w:themeColor="text1"/>
          <w:sz w:val="24"/>
          <w:szCs w:val="24"/>
          <w:vertAlign w:val="superscript"/>
        </w:rPr>
        <w:footnoteReference w:id="10"/>
      </w:r>
      <w:r w:rsidRPr="00CE7631">
        <w:rPr>
          <w:rFonts w:ascii="Palatino Linotype" w:hAnsi="Palatino Linotype" w:cs="Arial"/>
          <w:color w:val="000000" w:themeColor="text1"/>
          <w:sz w:val="24"/>
          <w:szCs w:val="24"/>
        </w:rPr>
        <w:t xml:space="preserve"> para la protección del derecho de acceso a la información pública, que ha implicado el diseño del recurso de revisión como una garantía secundaria, </w:t>
      </w:r>
      <w:r w:rsidRPr="00CE7631">
        <w:rPr>
          <w:rFonts w:ascii="Palatino Linotype" w:hAnsi="Palatino Linotype" w:cs="Arial"/>
          <w:color w:val="000000" w:themeColor="text1"/>
          <w:sz w:val="24"/>
          <w:szCs w:val="24"/>
        </w:rPr>
        <w:lastRenderedPageBreak/>
        <w:t>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Pr="00CE7631">
        <w:rPr>
          <w:rFonts w:ascii="Palatino Linotype" w:hAnsi="Palatino Linotype" w:cs="Arial"/>
          <w:color w:val="000000" w:themeColor="text1"/>
          <w:sz w:val="24"/>
          <w:szCs w:val="24"/>
          <w:vertAlign w:val="superscript"/>
        </w:rPr>
        <w:footnoteReference w:id="11"/>
      </w:r>
      <w:r w:rsidRPr="00CE7631">
        <w:rPr>
          <w:rFonts w:ascii="Palatino Linotype" w:hAnsi="Palatino Linotype" w:cs="Arial"/>
          <w:color w:val="000000" w:themeColor="text1"/>
          <w:sz w:val="24"/>
          <w:szCs w:val="24"/>
        </w:rPr>
        <w:t xml:space="preserve"> </w:t>
      </w:r>
    </w:p>
    <w:p w:rsidR="00EC68E3" w:rsidRPr="00CE7631" w:rsidRDefault="00EC68E3" w:rsidP="00E922BD">
      <w:pPr>
        <w:spacing w:line="360" w:lineRule="auto"/>
        <w:contextualSpacing/>
        <w:rPr>
          <w:rFonts w:ascii="Palatino Linotype" w:hAnsi="Palatino Linotype" w:cs="Arial"/>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Lo que fue entendido por el legislador ordinario mexiquense quien a través del artículo 176 de la ley estatal de transparencia citada previamente, ha señalado que  </w:t>
      </w:r>
      <w:r w:rsidRPr="00CE7631">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CE7631">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CE7631">
        <w:rPr>
          <w:rFonts w:ascii="Palatino Linotype" w:hAnsi="Palatino Linotype" w:cs="Arial"/>
          <w:i/>
          <w:color w:val="000000" w:themeColor="text1"/>
          <w:sz w:val="24"/>
          <w:szCs w:val="24"/>
        </w:rPr>
        <w:t xml:space="preserve">la reparación judicial </w:t>
      </w:r>
      <w:r w:rsidRPr="00CE7631">
        <w:rPr>
          <w:rFonts w:ascii="Palatino Linotype" w:hAnsi="Palatino Linotype" w:cs="Arial"/>
          <w:color w:val="000000" w:themeColor="text1"/>
          <w:sz w:val="24"/>
          <w:szCs w:val="24"/>
        </w:rPr>
        <w:t>(en nuestro caso, materialmente jurisdiccional)</w:t>
      </w:r>
      <w:r w:rsidRPr="00CE7631">
        <w:rPr>
          <w:rFonts w:ascii="Palatino Linotype" w:hAnsi="Palatino Linotype" w:cs="Arial"/>
          <w:i/>
          <w:color w:val="000000" w:themeColor="text1"/>
          <w:sz w:val="24"/>
          <w:szCs w:val="24"/>
        </w:rPr>
        <w:t xml:space="preserve"> de las violaciones de las garantías primarias</w:t>
      </w:r>
      <w:r w:rsidRPr="00CE7631">
        <w:rPr>
          <w:rFonts w:ascii="Palatino Linotype" w:hAnsi="Palatino Linotype" w:cs="Arial"/>
          <w:i/>
          <w:color w:val="000000" w:themeColor="text1"/>
          <w:sz w:val="24"/>
          <w:szCs w:val="24"/>
          <w:vertAlign w:val="superscript"/>
        </w:rPr>
        <w:footnoteReference w:id="12"/>
      </w:r>
      <w:r w:rsidRPr="00CE7631">
        <w:rPr>
          <w:rFonts w:ascii="Palatino Linotype" w:hAnsi="Palatino Linotype" w:cs="Arial"/>
          <w:i/>
          <w:color w:val="000000" w:themeColor="text1"/>
          <w:sz w:val="24"/>
          <w:szCs w:val="24"/>
        </w:rPr>
        <w:t xml:space="preserve"> </w:t>
      </w:r>
      <w:r w:rsidRPr="00CE7631">
        <w:rPr>
          <w:rFonts w:ascii="Palatino Linotype" w:hAnsi="Palatino Linotype" w:cs="Arial"/>
          <w:color w:val="000000" w:themeColor="text1"/>
          <w:sz w:val="24"/>
          <w:szCs w:val="24"/>
        </w:rPr>
        <w:t xml:space="preserve">o como </w:t>
      </w:r>
      <w:r w:rsidRPr="00CE7631">
        <w:rPr>
          <w:rFonts w:ascii="Palatino Linotype" w:hAnsi="Palatino Linotype" w:cs="Arial"/>
          <w:i/>
          <w:color w:val="000000" w:themeColor="text1"/>
          <w:sz w:val="24"/>
          <w:szCs w:val="24"/>
        </w:rPr>
        <w:t>garantías jurisdiccionales de justiciabilidad que intervienen, en caso de violación de las garantías primarias y de los derechos correlativos, a través de la anulación de los actos inválidos y de la sanción por los actos ilícitos.</w:t>
      </w:r>
      <w:r w:rsidRPr="00CE7631">
        <w:rPr>
          <w:rFonts w:ascii="Palatino Linotype" w:hAnsi="Palatino Linotype" w:cs="Arial"/>
          <w:i/>
          <w:color w:val="000000" w:themeColor="text1"/>
          <w:sz w:val="24"/>
          <w:szCs w:val="24"/>
          <w:vertAlign w:val="superscript"/>
        </w:rPr>
        <w:footnoteReference w:id="13"/>
      </w:r>
      <w:r w:rsidRPr="00CE7631">
        <w:rPr>
          <w:rFonts w:ascii="Palatino Linotype" w:hAnsi="Palatino Linotype" w:cs="Arial"/>
          <w:i/>
          <w:color w:val="000000" w:themeColor="text1"/>
          <w:sz w:val="24"/>
          <w:szCs w:val="24"/>
        </w:rPr>
        <w:t xml:space="preserve"> </w:t>
      </w:r>
    </w:p>
    <w:p w:rsidR="00EC68E3" w:rsidRPr="00CE7631" w:rsidRDefault="00EC68E3" w:rsidP="00E922BD">
      <w:pPr>
        <w:spacing w:line="360" w:lineRule="auto"/>
        <w:contextualSpacing/>
        <w:rPr>
          <w:rFonts w:ascii="Palatino Linotype" w:hAnsi="Palatino Linotype" w:cs="Arial"/>
          <w:color w:val="000000" w:themeColor="text1"/>
          <w:sz w:val="24"/>
          <w:szCs w:val="24"/>
        </w:rPr>
      </w:pPr>
    </w:p>
    <w:p w:rsidR="00EC68E3"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En el caso que se resuelve debo destacar que la misma ley de transparencia ya citada precisa en su artículo 179 fracción III y VIII que el propio recurso de </w:t>
      </w:r>
      <w:r w:rsidRPr="00CE7631">
        <w:rPr>
          <w:rFonts w:ascii="Palatino Linotype" w:hAnsi="Palatino Linotype" w:cs="Arial"/>
          <w:color w:val="000000" w:themeColor="text1"/>
          <w:sz w:val="24"/>
          <w:szCs w:val="24"/>
        </w:rPr>
        <w:lastRenderedPageBreak/>
        <w:t xml:space="preserve">revisión </w:t>
      </w:r>
      <w:r w:rsidRPr="00CE7631">
        <w:rPr>
          <w:rFonts w:ascii="Palatino Linotype" w:hAnsi="Palatino Linotype" w:cs="Arial"/>
          <w:i/>
          <w:color w:val="000000" w:themeColor="text1"/>
          <w:sz w:val="24"/>
          <w:szCs w:val="24"/>
        </w:rPr>
        <w:t xml:space="preserve">es un medio de protección </w:t>
      </w:r>
      <w:r w:rsidRPr="00CE7631">
        <w:rPr>
          <w:rFonts w:ascii="Palatino Linotype" w:hAnsi="Palatino Linotype" w:cs="Arial"/>
          <w:color w:val="000000" w:themeColor="text1"/>
          <w:sz w:val="24"/>
          <w:szCs w:val="24"/>
        </w:rPr>
        <w:t>y procede en contra de la entrega de</w:t>
      </w:r>
      <w:r w:rsidRPr="00CE7631">
        <w:rPr>
          <w:rFonts w:ascii="Palatino Linotype" w:hAnsi="Palatino Linotype" w:cs="Arial"/>
          <w:i/>
          <w:color w:val="000000" w:themeColor="text1"/>
          <w:sz w:val="24"/>
          <w:szCs w:val="24"/>
        </w:rPr>
        <w:t xml:space="preserve"> la declaración de inexistencia de la información; y La notificación, entrega o puesta a disposición de información en una modalidad o formato distinto a lo solicitado.</w:t>
      </w:r>
      <w:r w:rsidRPr="00CE7631">
        <w:rPr>
          <w:rFonts w:ascii="Palatino Linotype" w:hAnsi="Palatino Linotype" w:cs="Arial"/>
          <w:color w:val="000000" w:themeColor="text1"/>
          <w:sz w:val="24"/>
          <w:szCs w:val="24"/>
        </w:rPr>
        <w:t xml:space="preserve"> </w:t>
      </w:r>
      <w:r w:rsidRPr="00CE7631">
        <w:rPr>
          <w:rFonts w:ascii="Palatino Linotype" w:hAnsi="Palatino Linotype" w:cs="Arial"/>
          <w:b/>
          <w:color w:val="000000" w:themeColor="text1"/>
          <w:sz w:val="24"/>
          <w:szCs w:val="24"/>
        </w:rPr>
        <w:t>Por lo que el motivo de inconformidad consiste en que</w:t>
      </w:r>
      <w:r w:rsidR="004E0530" w:rsidRPr="00CE7631">
        <w:rPr>
          <w:rFonts w:ascii="Palatino Linotype" w:hAnsi="Palatino Linotype" w:cs="Arial"/>
          <w:b/>
          <w:color w:val="000000" w:themeColor="text1"/>
          <w:sz w:val="24"/>
          <w:szCs w:val="24"/>
        </w:rPr>
        <w:t xml:space="preserve"> el Sujeto Obligado pretendió clasificar</w:t>
      </w:r>
      <w:r w:rsidR="004E38BF" w:rsidRPr="00CE7631">
        <w:rPr>
          <w:rFonts w:ascii="Palatino Linotype" w:hAnsi="Palatino Linotype" w:cs="Arial"/>
          <w:b/>
          <w:color w:val="000000" w:themeColor="text1"/>
          <w:sz w:val="24"/>
          <w:szCs w:val="24"/>
        </w:rPr>
        <w:t xml:space="preserve"> la información que requiri</w:t>
      </w:r>
      <w:r w:rsidR="001A103E" w:rsidRPr="00CE7631">
        <w:rPr>
          <w:rFonts w:ascii="Palatino Linotype" w:hAnsi="Palatino Linotype" w:cs="Arial"/>
          <w:b/>
          <w:color w:val="000000" w:themeColor="text1"/>
          <w:sz w:val="24"/>
          <w:szCs w:val="24"/>
        </w:rPr>
        <w:t xml:space="preserve">ó el particular, </w:t>
      </w:r>
      <w:r w:rsidRPr="00CE7631">
        <w:rPr>
          <w:rFonts w:ascii="Palatino Linotype" w:hAnsi="Palatino Linotype" w:cs="Arial"/>
          <w:color w:val="000000" w:themeColor="text1"/>
          <w:sz w:val="24"/>
          <w:szCs w:val="24"/>
        </w:rPr>
        <w:t xml:space="preserve">mostrando así una negligencia por parte de la autoridad, </w:t>
      </w:r>
      <w:r w:rsidR="001A103E" w:rsidRPr="00CE7631">
        <w:rPr>
          <w:rFonts w:ascii="Palatino Linotype" w:hAnsi="Palatino Linotype" w:cs="Arial"/>
          <w:color w:val="000000" w:themeColor="text1"/>
          <w:sz w:val="24"/>
          <w:szCs w:val="24"/>
        </w:rPr>
        <w:t xml:space="preserve"> situación que recae en lo</w:t>
      </w:r>
      <w:r w:rsidRPr="00CE7631">
        <w:rPr>
          <w:rFonts w:ascii="Palatino Linotype" w:hAnsi="Palatino Linotype" w:cs="Arial"/>
          <w:color w:val="000000" w:themeColor="text1"/>
          <w:sz w:val="24"/>
          <w:szCs w:val="24"/>
        </w:rPr>
        <w:t xml:space="preserve"> estipulado por el artículo 234, es plenamente fundado, constituye una afectación indebida e injustificada a su derecho de acceso a la información pública y la respuesta del Sujeto Obligado, constituyó una violación a su derecho de acceso a la información pública que el Estado Mexicano, a través de otra institución, en este caso, este Pleno, pretende reparar a través de la resolución que acomp</w:t>
      </w:r>
      <w:r w:rsidR="00476367">
        <w:rPr>
          <w:rFonts w:ascii="Palatino Linotype" w:hAnsi="Palatino Linotype" w:cs="Arial"/>
          <w:color w:val="000000" w:themeColor="text1"/>
          <w:sz w:val="24"/>
          <w:szCs w:val="24"/>
        </w:rPr>
        <w:t>añamos</w:t>
      </w:r>
      <w:r w:rsidRPr="00CE7631">
        <w:rPr>
          <w:rFonts w:ascii="Palatino Linotype" w:hAnsi="Palatino Linotype" w:cs="Arial"/>
          <w:color w:val="000000" w:themeColor="text1"/>
          <w:sz w:val="24"/>
          <w:szCs w:val="24"/>
        </w:rPr>
        <w:t xml:space="preserve"> con el presente voto particular, mediante la cual se ordena la entr</w:t>
      </w:r>
      <w:r w:rsidR="004E0530" w:rsidRPr="00CE7631">
        <w:rPr>
          <w:rFonts w:ascii="Palatino Linotype" w:hAnsi="Palatino Linotype" w:cs="Arial"/>
          <w:color w:val="000000" w:themeColor="text1"/>
          <w:sz w:val="24"/>
          <w:szCs w:val="24"/>
        </w:rPr>
        <w:t>ega de la información en Copias Certificadas</w:t>
      </w:r>
      <w:r w:rsidR="001A103E" w:rsidRPr="00CE7631">
        <w:rPr>
          <w:rFonts w:ascii="Palatino Linotype" w:hAnsi="Palatino Linotype" w:cs="Arial"/>
          <w:color w:val="000000" w:themeColor="text1"/>
          <w:sz w:val="24"/>
          <w:szCs w:val="24"/>
        </w:rPr>
        <w:t xml:space="preserve"> </w:t>
      </w:r>
      <w:r w:rsidRPr="00CE7631">
        <w:rPr>
          <w:rFonts w:ascii="Palatino Linotype" w:hAnsi="Palatino Linotype" w:cs="Arial"/>
          <w:color w:val="000000" w:themeColor="text1"/>
          <w:sz w:val="24"/>
          <w:szCs w:val="24"/>
        </w:rPr>
        <w:t xml:space="preserve">con el previo pago de los derechos, por no existir razón alguna que lo impida. </w:t>
      </w:r>
    </w:p>
    <w:p w:rsidR="009844AE" w:rsidRPr="00E922BD" w:rsidRDefault="009844AE" w:rsidP="009844AE">
      <w:pPr>
        <w:spacing w:after="0" w:line="360" w:lineRule="auto"/>
        <w:contextualSpacing/>
        <w:jc w:val="both"/>
        <w:rPr>
          <w:rFonts w:ascii="Palatino Linotype" w:hAnsi="Palatino Linotype" w:cs="Arial"/>
          <w:color w:val="000000" w:themeColor="text1"/>
          <w:sz w:val="24"/>
          <w:szCs w:val="24"/>
        </w:rPr>
      </w:pPr>
    </w:p>
    <w:p w:rsidR="001A103E" w:rsidRDefault="00EC68E3" w:rsidP="009844AE">
      <w:pPr>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6" w:name="_Toc535857756"/>
      <w:r w:rsidRPr="00CE7631">
        <w:rPr>
          <w:rFonts w:ascii="Palatino Linotype" w:eastAsiaTheme="majorEastAsia" w:hAnsi="Palatino Linotype" w:cs="Arial"/>
          <w:b/>
          <w:iCs/>
          <w:color w:val="000000" w:themeColor="text1"/>
          <w:sz w:val="24"/>
          <w:szCs w:val="24"/>
        </w:rPr>
        <w:t>Consecuencias de la violación al derecho humano.</w:t>
      </w:r>
      <w:bookmarkEnd w:id="6"/>
      <w:r w:rsidRPr="00CE7631">
        <w:rPr>
          <w:rFonts w:ascii="Palatino Linotype" w:eastAsiaTheme="majorEastAsia" w:hAnsi="Palatino Linotype" w:cs="Arial"/>
          <w:b/>
          <w:iCs/>
          <w:color w:val="000000" w:themeColor="text1"/>
          <w:sz w:val="24"/>
          <w:szCs w:val="24"/>
        </w:rPr>
        <w:t xml:space="preserve"> </w:t>
      </w:r>
    </w:p>
    <w:p w:rsidR="00F154C8" w:rsidRPr="009844AE" w:rsidRDefault="00F154C8" w:rsidP="00F154C8">
      <w:pPr>
        <w:keepNext/>
        <w:keepLines/>
        <w:spacing w:before="40" w:after="0" w:line="360" w:lineRule="auto"/>
        <w:outlineLvl w:val="1"/>
        <w:rPr>
          <w:rFonts w:ascii="Palatino Linotype" w:eastAsiaTheme="majorEastAsia" w:hAnsi="Palatino Linotype" w:cs="Arial"/>
          <w:b/>
          <w:iCs/>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El tercer párrafo del artículo primero de nuestra la Constitución Política de los Estados Unidos Mexicanos establece la obligación del Estado Mexicano de </w:t>
      </w:r>
      <w:r w:rsidRPr="00CE7631">
        <w:rPr>
          <w:rFonts w:ascii="Palatino Linotype" w:hAnsi="Palatino Linotype" w:cs="Arial"/>
          <w:i/>
          <w:color w:val="000000" w:themeColor="text1"/>
          <w:sz w:val="24"/>
          <w:szCs w:val="24"/>
        </w:rPr>
        <w:t xml:space="preserve">investigar, sancionar y reparar las violaciones a los derechos humanos, en los términos que establezca la ley. </w:t>
      </w:r>
      <w:r w:rsidRPr="00CE7631">
        <w:rPr>
          <w:rFonts w:ascii="Palatino Linotype" w:hAnsi="Palatino Linotype" w:cs="Arial"/>
          <w:color w:val="000000" w:themeColor="text1"/>
          <w:sz w:val="24"/>
          <w:szCs w:val="24"/>
        </w:rPr>
        <w:t xml:space="preserve">En este caso es plenamente evidente que </w:t>
      </w:r>
      <w:r w:rsidRPr="00CE7631">
        <w:rPr>
          <w:rFonts w:ascii="Palatino Linotype" w:hAnsi="Palatino Linotype" w:cs="Arial"/>
          <w:b/>
          <w:color w:val="000000" w:themeColor="text1"/>
          <w:sz w:val="24"/>
          <w:szCs w:val="24"/>
        </w:rPr>
        <w:t xml:space="preserve">el particular </w:t>
      </w:r>
      <w:r w:rsidRPr="00CE7631">
        <w:rPr>
          <w:rFonts w:ascii="Palatino Linotype" w:hAnsi="Palatino Linotype" w:cs="Arial"/>
          <w:color w:val="000000" w:themeColor="text1"/>
          <w:sz w:val="24"/>
          <w:szCs w:val="24"/>
        </w:rPr>
        <w:t>pretendió a acceder</w:t>
      </w:r>
      <w:r w:rsidR="004E0530" w:rsidRPr="00CE7631">
        <w:rPr>
          <w:rFonts w:ascii="Palatino Linotype" w:hAnsi="Palatino Linotype" w:cs="Arial"/>
          <w:color w:val="000000" w:themeColor="text1"/>
          <w:sz w:val="24"/>
          <w:szCs w:val="24"/>
        </w:rPr>
        <w:t xml:space="preserve"> a cierta información en Copias Certificadas</w:t>
      </w:r>
      <w:r w:rsidRPr="00CE7631">
        <w:rPr>
          <w:rFonts w:ascii="Palatino Linotype" w:hAnsi="Palatino Linotype" w:cs="Arial"/>
          <w:color w:val="000000" w:themeColor="text1"/>
          <w:sz w:val="24"/>
          <w:szCs w:val="24"/>
        </w:rPr>
        <w:t xml:space="preserve"> (con costo) y que la autoridad </w:t>
      </w:r>
      <w:r w:rsidR="00D71594" w:rsidRPr="00CE7631">
        <w:rPr>
          <w:rFonts w:ascii="Palatino Linotype" w:hAnsi="Palatino Linotype" w:cs="Arial"/>
          <w:color w:val="000000" w:themeColor="text1"/>
          <w:sz w:val="24"/>
          <w:szCs w:val="24"/>
        </w:rPr>
        <w:t xml:space="preserve">pretende clasificar la información </w:t>
      </w:r>
      <w:r w:rsidRPr="00CE7631">
        <w:rPr>
          <w:rFonts w:ascii="Palatino Linotype" w:hAnsi="Palatino Linotype" w:cs="Arial"/>
          <w:color w:val="000000" w:themeColor="text1"/>
          <w:sz w:val="24"/>
          <w:szCs w:val="24"/>
        </w:rPr>
        <w:t xml:space="preserve">sin ningún argumento o causa justificada, lo cual </w:t>
      </w:r>
      <w:r w:rsidRPr="00CE7631">
        <w:rPr>
          <w:rFonts w:ascii="Palatino Linotype" w:hAnsi="Palatino Linotype" w:cs="Arial"/>
          <w:color w:val="000000" w:themeColor="text1"/>
          <w:sz w:val="24"/>
          <w:szCs w:val="24"/>
        </w:rPr>
        <w:lastRenderedPageBreak/>
        <w:t xml:space="preserve">generó un agravió en la persona que acudió a la garantía secundaria para la </w:t>
      </w:r>
      <w:r w:rsidRPr="00CE7631">
        <w:rPr>
          <w:rFonts w:ascii="Palatino Linotype" w:hAnsi="Palatino Linotype" w:cs="Arial"/>
          <w:i/>
          <w:color w:val="000000" w:themeColor="text1"/>
          <w:sz w:val="24"/>
          <w:szCs w:val="24"/>
        </w:rPr>
        <w:t>restitutio in integrum</w:t>
      </w:r>
      <w:r w:rsidRPr="00CE7631">
        <w:rPr>
          <w:rFonts w:ascii="Palatino Linotype" w:hAnsi="Palatino Linotype" w:cs="Arial"/>
          <w:color w:val="000000" w:themeColor="text1"/>
          <w:sz w:val="24"/>
          <w:szCs w:val="24"/>
        </w:rPr>
        <w:t xml:space="preserve"> del derecho en cuestión. Lo que este Órgano Garante pretende hacer ordenando la entrega de la información.</w:t>
      </w:r>
    </w:p>
    <w:p w:rsidR="001A103E" w:rsidRPr="00CE7631" w:rsidRDefault="001A103E" w:rsidP="00E922BD">
      <w:pPr>
        <w:spacing w:after="0" w:line="360" w:lineRule="auto"/>
        <w:ind w:left="360"/>
        <w:contextualSpacing/>
        <w:jc w:val="both"/>
        <w:rPr>
          <w:rFonts w:ascii="Palatino Linotype" w:hAnsi="Palatino Linotype" w:cs="Arial"/>
          <w:color w:val="000000" w:themeColor="text1"/>
          <w:sz w:val="24"/>
          <w:szCs w:val="24"/>
        </w:rPr>
      </w:pPr>
    </w:p>
    <w:p w:rsidR="00EC68E3" w:rsidRPr="00CE7631" w:rsidRDefault="009844AE"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Pero debemos </w:t>
      </w:r>
      <w:r w:rsidR="00EC68E3" w:rsidRPr="00CE7631">
        <w:rPr>
          <w:rFonts w:ascii="Palatino Linotype" w:hAnsi="Palatino Linotype" w:cs="Arial"/>
          <w:color w:val="000000" w:themeColor="text1"/>
          <w:sz w:val="24"/>
          <w:szCs w:val="24"/>
        </w:rPr>
        <w:t>decir que el</w:t>
      </w:r>
      <w:r>
        <w:rPr>
          <w:rFonts w:ascii="Palatino Linotype" w:hAnsi="Palatino Linotype" w:cs="Arial"/>
          <w:color w:val="000000" w:themeColor="text1"/>
          <w:sz w:val="24"/>
          <w:szCs w:val="24"/>
        </w:rPr>
        <w:t xml:space="preserve"> presente voto particular que nos</w:t>
      </w:r>
      <w:r w:rsidR="00EC68E3" w:rsidRPr="00CE7631">
        <w:rPr>
          <w:rFonts w:ascii="Palatino Linotype" w:hAnsi="Palatino Linotype" w:cs="Arial"/>
          <w:color w:val="000000" w:themeColor="text1"/>
          <w:sz w:val="24"/>
          <w:szCs w:val="24"/>
        </w:rPr>
        <w:t xml:space="preserve"> diferencia del resto del pleno consiste en los efectos de esa violación al derecho humano. Si bien es cierto, que los derechos no son efectivos sin las garantías que permitan su p</w:t>
      </w:r>
      <w:r>
        <w:rPr>
          <w:rFonts w:ascii="Palatino Linotype" w:hAnsi="Palatino Linotype" w:cs="Arial"/>
          <w:color w:val="000000" w:themeColor="text1"/>
          <w:sz w:val="24"/>
          <w:szCs w:val="24"/>
        </w:rPr>
        <w:t>leno cumplimiento, también estamos</w:t>
      </w:r>
      <w:r w:rsidR="00EC68E3" w:rsidRPr="00CE7631">
        <w:rPr>
          <w:rFonts w:ascii="Palatino Linotype" w:hAnsi="Palatino Linotype" w:cs="Arial"/>
          <w:color w:val="000000" w:themeColor="text1"/>
          <w:sz w:val="24"/>
          <w:szCs w:val="24"/>
        </w:rPr>
        <w:t xml:space="preserve"> convencido</w:t>
      </w:r>
      <w:r>
        <w:rPr>
          <w:rFonts w:ascii="Palatino Linotype" w:hAnsi="Palatino Linotype" w:cs="Arial"/>
          <w:color w:val="000000" w:themeColor="text1"/>
          <w:sz w:val="24"/>
          <w:szCs w:val="24"/>
        </w:rPr>
        <w:t>s</w:t>
      </w:r>
      <w:r w:rsidR="00EC68E3" w:rsidRPr="00CE7631">
        <w:rPr>
          <w:rFonts w:ascii="Palatino Linotype" w:hAnsi="Palatino Linotype" w:cs="Arial"/>
          <w:color w:val="000000" w:themeColor="text1"/>
          <w:sz w:val="24"/>
          <w:szCs w:val="24"/>
        </w:rPr>
        <w:t xml:space="preserve"> de que las garantías son limitadas si las afectaciones o violaciones a los derechos humanos no se acompañan de las medidas adecuadas para asegurar lo que la Corte Interamericana de Derechos Humanos ampliamente ha establecido como doctrina consolidada en materia de no repetición de las conductas que lo violan,</w:t>
      </w:r>
      <w:r w:rsidR="00EC68E3" w:rsidRPr="00CE7631">
        <w:rPr>
          <w:rFonts w:ascii="Palatino Linotype" w:hAnsi="Palatino Linotype" w:cs="Arial"/>
          <w:color w:val="000000" w:themeColor="text1"/>
          <w:sz w:val="24"/>
          <w:szCs w:val="24"/>
          <w:vertAlign w:val="superscript"/>
        </w:rPr>
        <w:footnoteReference w:id="14"/>
      </w:r>
      <w:r w:rsidR="00EC68E3" w:rsidRPr="00CE7631">
        <w:rPr>
          <w:rFonts w:ascii="Palatino Linotype" w:hAnsi="Palatino Linotype" w:cs="Arial"/>
          <w:color w:val="000000" w:themeColor="text1"/>
          <w:sz w:val="24"/>
          <w:szCs w:val="24"/>
        </w:rPr>
        <w:t xml:space="preserve"> o lo que Ferrajoli señala como la </w:t>
      </w:r>
      <w:r w:rsidR="00EC68E3" w:rsidRPr="00CE7631">
        <w:rPr>
          <w:rFonts w:ascii="Palatino Linotype" w:hAnsi="Palatino Linotype" w:cs="Arial"/>
          <w:i/>
          <w:color w:val="000000" w:themeColor="text1"/>
          <w:sz w:val="24"/>
          <w:szCs w:val="24"/>
        </w:rPr>
        <w:t>sanción por los actos ilícitos</w:t>
      </w:r>
      <w:r w:rsidR="00EC68E3" w:rsidRPr="00CE7631">
        <w:rPr>
          <w:rFonts w:ascii="Palatino Linotype" w:hAnsi="Palatino Linotype" w:cs="Arial"/>
          <w:color w:val="000000" w:themeColor="text1"/>
          <w:sz w:val="24"/>
          <w:szCs w:val="24"/>
        </w:rPr>
        <w:t xml:space="preserve"> según se ha citado ya. Lo cual implica que se debe revisar si el ordenamiento jurídico actual establece un procedimiento determinado que permita sancionar esta afectación particular al derecho de acceso a la información pública. </w:t>
      </w:r>
    </w:p>
    <w:p w:rsidR="00EC68E3" w:rsidRPr="00CE7631" w:rsidRDefault="00EC68E3" w:rsidP="00E922BD">
      <w:pPr>
        <w:spacing w:line="360" w:lineRule="auto"/>
        <w:ind w:left="720"/>
        <w:contextualSpacing/>
        <w:rPr>
          <w:rFonts w:ascii="Palatino Linotype" w:hAnsi="Palatino Linotype" w:cs="Arial"/>
          <w:color w:val="000000" w:themeColor="text1"/>
          <w:sz w:val="24"/>
          <w:szCs w:val="24"/>
        </w:rPr>
      </w:pPr>
    </w:p>
    <w:p w:rsidR="00EC68E3" w:rsidRPr="00CE7631" w:rsidRDefault="009844AE"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Estamos</w:t>
      </w:r>
      <w:r w:rsidR="00EC68E3" w:rsidRPr="00CE7631">
        <w:rPr>
          <w:rFonts w:ascii="Palatino Linotype" w:hAnsi="Palatino Linotype" w:cs="Arial"/>
          <w:color w:val="000000" w:themeColor="text1"/>
          <w:sz w:val="24"/>
          <w:szCs w:val="24"/>
        </w:rPr>
        <w:t xml:space="preserve"> convencido</w:t>
      </w:r>
      <w:r>
        <w:rPr>
          <w:rFonts w:ascii="Palatino Linotype" w:hAnsi="Palatino Linotype" w:cs="Arial"/>
          <w:color w:val="000000" w:themeColor="text1"/>
          <w:sz w:val="24"/>
          <w:szCs w:val="24"/>
        </w:rPr>
        <w:t>s</w:t>
      </w:r>
      <w:r w:rsidR="00EC68E3" w:rsidRPr="00CE7631">
        <w:rPr>
          <w:rFonts w:ascii="Palatino Linotype" w:hAnsi="Palatino Linotype" w:cs="Arial"/>
          <w:color w:val="000000" w:themeColor="text1"/>
          <w:sz w:val="24"/>
          <w:szCs w:val="24"/>
        </w:rPr>
        <w:t xml:space="preserve"> de que el legislador ordinario federal y estatal, previó esta circunstancia y por esa razón estableció dos consecuencias precisas para </w:t>
      </w:r>
      <w:r w:rsidR="00EC68E3" w:rsidRPr="00CE7631">
        <w:rPr>
          <w:rFonts w:ascii="Palatino Linotype" w:hAnsi="Palatino Linotype" w:cs="Arial"/>
          <w:color w:val="000000" w:themeColor="text1"/>
          <w:sz w:val="24"/>
          <w:szCs w:val="24"/>
        </w:rPr>
        <w:lastRenderedPageBreak/>
        <w:t>sancionar este tipo de violaciones o afectaciones al derecho de acceso a la información pública. La primera en la dimensión de las responsabilidades individuales de los servidores públicos, según consta en el artículo 222 fracción I, II de la</w:t>
      </w:r>
      <w:r w:rsidR="00D71594" w:rsidRPr="00CE7631">
        <w:rPr>
          <w:rFonts w:ascii="Palatino Linotype" w:hAnsi="Palatino Linotype" w:cs="Arial"/>
          <w:color w:val="000000" w:themeColor="text1"/>
          <w:sz w:val="24"/>
          <w:szCs w:val="24"/>
        </w:rPr>
        <w:t xml:space="preserve"> multicitada </w:t>
      </w:r>
      <w:r w:rsidR="00EC68E3" w:rsidRPr="00CE7631">
        <w:rPr>
          <w:rFonts w:ascii="Palatino Linotype" w:hAnsi="Palatino Linotype" w:cs="Arial"/>
          <w:color w:val="000000" w:themeColor="text1"/>
          <w:sz w:val="24"/>
          <w:szCs w:val="24"/>
        </w:rPr>
        <w:t>ley esta</w:t>
      </w:r>
      <w:r w:rsidR="00D71594" w:rsidRPr="00CE7631">
        <w:rPr>
          <w:rFonts w:ascii="Palatino Linotype" w:hAnsi="Palatino Linotype" w:cs="Arial"/>
          <w:color w:val="000000" w:themeColor="text1"/>
          <w:sz w:val="24"/>
          <w:szCs w:val="24"/>
        </w:rPr>
        <w:t>tal de transparencia</w:t>
      </w:r>
      <w:r w:rsidR="00EC68E3" w:rsidRPr="00CE7631">
        <w:rPr>
          <w:rFonts w:ascii="Palatino Linotype" w:hAnsi="Palatino Linotype" w:cs="Arial"/>
          <w:color w:val="000000" w:themeColor="text1"/>
          <w:sz w:val="24"/>
          <w:szCs w:val="24"/>
        </w:rPr>
        <w:t xml:space="preserve">, que determina como causa de responsabilidad administrativa de los servidores públicos de los sujetos obligados el declara con dolo o negligencia  la </w:t>
      </w:r>
      <w:r w:rsidR="00D71594" w:rsidRPr="00CE7631">
        <w:rPr>
          <w:rFonts w:ascii="Palatino Linotype" w:hAnsi="Palatino Linotype" w:cs="Arial"/>
          <w:color w:val="000000" w:themeColor="text1"/>
          <w:sz w:val="24"/>
          <w:szCs w:val="24"/>
        </w:rPr>
        <w:t>clasificación</w:t>
      </w:r>
      <w:r w:rsidR="00EC68E3" w:rsidRPr="00CE7631">
        <w:rPr>
          <w:rFonts w:ascii="Palatino Linotype" w:hAnsi="Palatino Linotype" w:cs="Arial"/>
          <w:color w:val="000000" w:themeColor="text1"/>
          <w:sz w:val="24"/>
          <w:szCs w:val="24"/>
        </w:rPr>
        <w:t xml:space="preserve"> de la información, </w:t>
      </w:r>
      <w:r w:rsidR="00EC68E3" w:rsidRPr="00CE7631">
        <w:rPr>
          <w:rFonts w:ascii="Palatino Linotype" w:hAnsi="Palatino Linotype" w:cs="Arial"/>
          <w:b/>
          <w:color w:val="000000" w:themeColor="text1"/>
          <w:sz w:val="24"/>
          <w:szCs w:val="24"/>
        </w:rPr>
        <w:t xml:space="preserve">sin la debida motivación y fundamentación. </w:t>
      </w:r>
    </w:p>
    <w:p w:rsidR="00EC68E3" w:rsidRPr="00CE7631" w:rsidRDefault="00EC68E3" w:rsidP="00E922BD">
      <w:pPr>
        <w:spacing w:line="360" w:lineRule="auto"/>
        <w:contextualSpacing/>
        <w:rPr>
          <w:rFonts w:ascii="Palatino Linotype" w:hAnsi="Palatino Linotype" w:cs="Arial"/>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En este caso es evidente que el pago que se pretende aplicar para la expedición de la información requerida en la modalidad elegida por </w:t>
      </w:r>
      <w:r w:rsidRPr="00CE7631">
        <w:rPr>
          <w:rFonts w:ascii="Palatino Linotype" w:hAnsi="Palatino Linotype" w:cs="Arial"/>
          <w:b/>
          <w:color w:val="000000" w:themeColor="text1"/>
          <w:sz w:val="24"/>
          <w:szCs w:val="24"/>
        </w:rPr>
        <w:t xml:space="preserve">el recurrente, no resulta aplicable </w:t>
      </w:r>
      <w:r w:rsidRPr="00CE7631">
        <w:rPr>
          <w:rFonts w:ascii="Palatino Linotype" w:hAnsi="Palatino Linotype" w:cs="Arial"/>
          <w:color w:val="000000" w:themeColor="text1"/>
          <w:sz w:val="24"/>
          <w:szCs w:val="24"/>
        </w:rPr>
        <w:t>para ello es dable señalar el contenido de la Ley de Transparencia y Acceso a la Información Pública del Estado de México y Municipios  en su artículo 234, el cual establece lo siguiente:</w:t>
      </w:r>
    </w:p>
    <w:p w:rsidR="00EC68E3" w:rsidRPr="00CE7631" w:rsidRDefault="00EC68E3" w:rsidP="00E922BD">
      <w:pPr>
        <w:pStyle w:val="Prrafodelista"/>
        <w:spacing w:line="360" w:lineRule="auto"/>
        <w:ind w:left="0"/>
        <w:rPr>
          <w:rFonts w:ascii="Palatino Linotype" w:hAnsi="Palatino Linotype" w:cs="Arial"/>
          <w:b/>
          <w:color w:val="000000" w:themeColor="text1"/>
          <w:sz w:val="24"/>
          <w:szCs w:val="24"/>
        </w:rPr>
      </w:pPr>
    </w:p>
    <w:p w:rsidR="00EC68E3" w:rsidRPr="00CE7631" w:rsidRDefault="00EC68E3" w:rsidP="00E922BD">
      <w:pPr>
        <w:autoSpaceDE w:val="0"/>
        <w:autoSpaceDN w:val="0"/>
        <w:adjustRightInd w:val="0"/>
        <w:spacing w:after="0" w:line="360" w:lineRule="auto"/>
        <w:ind w:left="851" w:right="616"/>
        <w:jc w:val="both"/>
        <w:rPr>
          <w:rFonts w:ascii="Palatino Linotype" w:hAnsi="Palatino Linotype" w:cs="Bookman Old Style"/>
          <w:i/>
          <w:szCs w:val="24"/>
        </w:rPr>
      </w:pPr>
      <w:r w:rsidRPr="00CE7631">
        <w:rPr>
          <w:rFonts w:ascii="Palatino Linotype" w:hAnsi="Palatino Linotype" w:cs="Bookman Old Style,Bold"/>
          <w:b/>
          <w:bCs/>
          <w:i/>
          <w:szCs w:val="24"/>
        </w:rPr>
        <w:t xml:space="preserve">Artículo 234. </w:t>
      </w:r>
      <w:r w:rsidRPr="00CE7631">
        <w:rPr>
          <w:rFonts w:ascii="Palatino Linotype" w:hAnsi="Palatino Linotype" w:cs="Bookman Old Style"/>
          <w:i/>
          <w:szCs w:val="24"/>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rsidR="00EC68E3" w:rsidRPr="00CE7631" w:rsidRDefault="00EC68E3" w:rsidP="00E922BD">
      <w:pPr>
        <w:autoSpaceDE w:val="0"/>
        <w:autoSpaceDN w:val="0"/>
        <w:adjustRightInd w:val="0"/>
        <w:spacing w:after="0" w:line="360" w:lineRule="auto"/>
        <w:rPr>
          <w:rFonts w:ascii="Palatino Linotype" w:hAnsi="Palatino Linotype" w:cs="Arial"/>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El precepto legal en comento resulta aplicable al caso que nos ocupa, toda vez que el Sujeto Obligado respondió a la solicitud señalando la </w:t>
      </w:r>
      <w:r w:rsidR="00D71594" w:rsidRPr="00CE7631">
        <w:rPr>
          <w:rFonts w:ascii="Palatino Linotype" w:hAnsi="Palatino Linotype" w:cs="Arial"/>
          <w:color w:val="000000" w:themeColor="text1"/>
          <w:sz w:val="24"/>
          <w:szCs w:val="24"/>
        </w:rPr>
        <w:t xml:space="preserve">clasificación </w:t>
      </w:r>
      <w:r w:rsidRPr="00CE7631">
        <w:rPr>
          <w:rFonts w:ascii="Palatino Linotype" w:hAnsi="Palatino Linotype" w:cs="Arial"/>
          <w:color w:val="000000" w:themeColor="text1"/>
          <w:sz w:val="24"/>
          <w:szCs w:val="24"/>
        </w:rPr>
        <w:t xml:space="preserve">de la información, afectando el derecho constitucional y convencionalmente reconocido, </w:t>
      </w:r>
      <w:r w:rsidRPr="00CE7631">
        <w:rPr>
          <w:rFonts w:ascii="Palatino Linotype" w:hAnsi="Palatino Linotype" w:cs="Arial"/>
          <w:color w:val="000000" w:themeColor="text1"/>
          <w:sz w:val="24"/>
          <w:szCs w:val="24"/>
        </w:rPr>
        <w:lastRenderedPageBreak/>
        <w:t xml:space="preserve">retrasando su acceso a la información requerida, aún en este momento, no ha podido acceder a la información que pretendía. </w:t>
      </w:r>
    </w:p>
    <w:p w:rsidR="00EC68E3" w:rsidRPr="00CE7631" w:rsidRDefault="00EC68E3" w:rsidP="00E922BD">
      <w:pPr>
        <w:spacing w:after="0" w:line="360" w:lineRule="auto"/>
        <w:contextualSpacing/>
        <w:jc w:val="both"/>
        <w:rPr>
          <w:rFonts w:ascii="Palatino Linotype" w:hAnsi="Palatino Linotype" w:cs="Arial"/>
          <w:color w:val="000000" w:themeColor="text1"/>
          <w:sz w:val="24"/>
          <w:szCs w:val="24"/>
        </w:rPr>
      </w:pPr>
    </w:p>
    <w:p w:rsidR="00EC68E3" w:rsidRPr="009E3B0A" w:rsidRDefault="00EC68E3" w:rsidP="009E3B0A">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Rob</w:t>
      </w:r>
      <w:r w:rsidR="009844AE">
        <w:rPr>
          <w:rFonts w:ascii="Palatino Linotype" w:hAnsi="Palatino Linotype" w:cs="Arial"/>
          <w:color w:val="000000" w:themeColor="text1"/>
          <w:sz w:val="24"/>
          <w:szCs w:val="24"/>
        </w:rPr>
        <w:t xml:space="preserve">ustece nuestra </w:t>
      </w:r>
      <w:r w:rsidRPr="00CE7631">
        <w:rPr>
          <w:rFonts w:ascii="Palatino Linotype" w:hAnsi="Palatino Linotype" w:cs="Arial"/>
          <w:color w:val="000000" w:themeColor="text1"/>
          <w:sz w:val="24"/>
          <w:szCs w:val="24"/>
        </w:rPr>
        <w:t xml:space="preserve">postura, entendiéndose que al haber </w:t>
      </w:r>
      <w:r w:rsidR="00D71594" w:rsidRPr="00CE7631">
        <w:rPr>
          <w:rFonts w:ascii="Palatino Linotype" w:hAnsi="Palatino Linotype" w:cs="Arial"/>
          <w:color w:val="000000" w:themeColor="text1"/>
          <w:sz w:val="24"/>
          <w:szCs w:val="24"/>
        </w:rPr>
        <w:t xml:space="preserve">clasificado </w:t>
      </w:r>
      <w:r w:rsidRPr="00CE7631">
        <w:rPr>
          <w:rFonts w:ascii="Palatino Linotype" w:hAnsi="Palatino Linotype" w:cs="Arial"/>
          <w:color w:val="000000" w:themeColor="text1"/>
          <w:sz w:val="24"/>
          <w:szCs w:val="24"/>
        </w:rPr>
        <w:t xml:space="preserve">la información en los términos mencionados sin causa debidamente justificada, se presume que el Sujeto Obligado concurre en una negligencia en cuanto al cumplimiento de sus obligaciones, por lo cual, resulta dable como medida de reparación a la afectación del derecho del recurrente, entregar la información solicitada en la modalidad elegida por la solicitante </w:t>
      </w:r>
      <w:r w:rsidRPr="00CE7631">
        <w:rPr>
          <w:rFonts w:ascii="Palatino Linotype" w:hAnsi="Palatino Linotype" w:cs="Arial"/>
          <w:b/>
          <w:color w:val="000000" w:themeColor="text1"/>
          <w:sz w:val="24"/>
          <w:szCs w:val="24"/>
        </w:rPr>
        <w:t>sin costo alguno</w:t>
      </w:r>
      <w:r w:rsidRPr="00CE7631">
        <w:rPr>
          <w:rFonts w:ascii="Palatino Linotype" w:hAnsi="Palatino Linotype" w:cs="Arial"/>
          <w:color w:val="000000" w:themeColor="text1"/>
          <w:sz w:val="24"/>
          <w:szCs w:val="24"/>
        </w:rPr>
        <w:t>, por no haber promovido, respetado y garantizado el efectivo ejercicio del derecho al acceso a la información, tal y como lo establece la Constitución Policita de los Estados Unidos Mexicanos.</w:t>
      </w:r>
      <w:r w:rsidR="009E3B0A">
        <w:rPr>
          <w:rFonts w:ascii="Palatino Linotype" w:hAnsi="Palatino Linotype" w:cs="Arial"/>
          <w:color w:val="000000" w:themeColor="text1"/>
          <w:sz w:val="24"/>
          <w:szCs w:val="24"/>
        </w:rPr>
        <w:t xml:space="preserve"> </w:t>
      </w:r>
      <w:r w:rsidRPr="009E3B0A">
        <w:rPr>
          <w:rFonts w:ascii="Palatino Linotype" w:hAnsi="Palatino Linotype" w:cs="Arial"/>
          <w:color w:val="000000" w:themeColor="text1"/>
          <w:sz w:val="24"/>
          <w:szCs w:val="24"/>
        </w:rPr>
        <w:t xml:space="preserve">En ese mismo sentido, al perder el Sujeto Obligado la posibilidad momentánea de acceder a los derechos por la expedición de la información en la modalidad de entrega elegida por el particular puede ser un incentivo adicional para que, en el futuro, las solicitudes de acceso a la información sean atendidas bajo el más alto estándar que promueva la plena protección del derecho en cuestión. </w:t>
      </w:r>
    </w:p>
    <w:p w:rsidR="00EC68E3" w:rsidRPr="00CE7631" w:rsidRDefault="00EC68E3" w:rsidP="00E922BD">
      <w:pPr>
        <w:pStyle w:val="Prrafodelista"/>
        <w:spacing w:line="360" w:lineRule="auto"/>
        <w:ind w:left="0"/>
        <w:rPr>
          <w:rFonts w:ascii="Palatino Linotype" w:hAnsi="Palatino Linotype" w:cs="Arial"/>
          <w:color w:val="000000" w:themeColor="text1"/>
          <w:sz w:val="24"/>
          <w:szCs w:val="24"/>
        </w:rPr>
      </w:pPr>
    </w:p>
    <w:p w:rsidR="001A103E"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Pero al negarse el Pleno del Instituto a aplicar en estos términos el último artículo de la ley de transparencia y confiar en que se desahogue un procedimiento individualizado cuya culminación en términos temporales corre en una pista distinta y que supera con mucho los plazos para cumplir la presente resolución, perdemos la oportunidad de adoptar estas medidas de reparación del derecho a </w:t>
      </w:r>
      <w:r w:rsidRPr="00CE7631">
        <w:rPr>
          <w:rFonts w:ascii="Palatino Linotype" w:hAnsi="Palatino Linotype" w:cs="Arial"/>
          <w:color w:val="000000" w:themeColor="text1"/>
          <w:sz w:val="24"/>
          <w:szCs w:val="24"/>
        </w:rPr>
        <w:lastRenderedPageBreak/>
        <w:t>través de un beneficio directo establecido en la ley en favor de la persona; nos alejamos del criterio jurisprudencial interamericano de las medidas para asegurar la no repetición de los actos que violan los derechos y que deberían de sancionarse como actos ilícitos, según Ferrajoli; al mismo tiempo que, de manera más grave, estamos incurriendo en una desaplicación de la norma positiva que estamos obligados a cumplir plenamente, con lo que nos colocamos en un lugar inaceptable en el diseño constitucional del país como una autoridad que, para el caso concreto, es capaz de desaplicar una porción normativa precisa, a pesar de que la Suprema Corte de Justicia de la Nación se ha pronunciado ya en un sentido distinto.</w:t>
      </w:r>
      <w:r w:rsidRPr="00CE7631">
        <w:rPr>
          <w:rFonts w:ascii="Palatino Linotype" w:hAnsi="Palatino Linotype" w:cs="Arial"/>
          <w:color w:val="000000" w:themeColor="text1"/>
          <w:sz w:val="24"/>
          <w:szCs w:val="24"/>
          <w:vertAlign w:val="superscript"/>
        </w:rPr>
        <w:footnoteReference w:id="15"/>
      </w:r>
      <w:r w:rsidRPr="00CE7631">
        <w:rPr>
          <w:rFonts w:ascii="Palatino Linotype" w:hAnsi="Palatino Linotype" w:cs="Arial"/>
          <w:color w:val="000000" w:themeColor="text1"/>
          <w:sz w:val="24"/>
          <w:szCs w:val="24"/>
        </w:rPr>
        <w:t xml:space="preserve"> </w:t>
      </w:r>
    </w:p>
    <w:p w:rsidR="00CE7631" w:rsidRPr="00CE7631" w:rsidRDefault="00CE7631" w:rsidP="00E922BD">
      <w:pPr>
        <w:spacing w:after="0" w:line="360" w:lineRule="auto"/>
        <w:ind w:left="360"/>
        <w:contextualSpacing/>
        <w:jc w:val="both"/>
        <w:rPr>
          <w:rFonts w:ascii="Palatino Linotype" w:hAnsi="Palatino Linotype" w:cs="Arial"/>
          <w:color w:val="000000" w:themeColor="text1"/>
          <w:sz w:val="24"/>
          <w:szCs w:val="24"/>
        </w:rPr>
      </w:pPr>
    </w:p>
    <w:p w:rsidR="001A103E" w:rsidRDefault="00EC68E3" w:rsidP="009844AE">
      <w:pPr>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7" w:name="_Toc535857757"/>
      <w:r w:rsidRPr="00CE7631">
        <w:rPr>
          <w:rFonts w:ascii="Palatino Linotype" w:eastAsiaTheme="majorEastAsia" w:hAnsi="Palatino Linotype" w:cs="Arial"/>
          <w:b/>
          <w:iCs/>
          <w:color w:val="000000" w:themeColor="text1"/>
          <w:sz w:val="24"/>
          <w:szCs w:val="24"/>
        </w:rPr>
        <w:t>Conclusiones.</w:t>
      </w:r>
      <w:bookmarkEnd w:id="7"/>
      <w:r w:rsidRPr="00CE7631">
        <w:rPr>
          <w:rFonts w:ascii="Palatino Linotype" w:eastAsiaTheme="majorEastAsia" w:hAnsi="Palatino Linotype" w:cs="Arial"/>
          <w:b/>
          <w:iCs/>
          <w:color w:val="000000" w:themeColor="text1"/>
          <w:sz w:val="24"/>
          <w:szCs w:val="24"/>
        </w:rPr>
        <w:t xml:space="preserve"> </w:t>
      </w:r>
    </w:p>
    <w:p w:rsidR="00F154C8" w:rsidRPr="009844AE" w:rsidRDefault="00F154C8" w:rsidP="00F154C8">
      <w:pPr>
        <w:keepNext/>
        <w:keepLines/>
        <w:spacing w:before="40" w:after="0" w:line="360" w:lineRule="auto"/>
        <w:outlineLvl w:val="1"/>
        <w:rPr>
          <w:rFonts w:ascii="Palatino Linotype" w:eastAsiaTheme="majorEastAsia" w:hAnsi="Palatino Linotype" w:cs="Arial"/>
          <w:b/>
          <w:iCs/>
          <w:color w:val="000000" w:themeColor="text1"/>
          <w:sz w:val="24"/>
          <w:szCs w:val="24"/>
        </w:rPr>
      </w:pPr>
    </w:p>
    <w:p w:rsidR="004A6C66" w:rsidRDefault="00131770" w:rsidP="004A6C66">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Señalar la</w:t>
      </w:r>
      <w:r w:rsidR="00D71594" w:rsidRPr="00CE7631">
        <w:rPr>
          <w:rFonts w:ascii="Palatino Linotype" w:hAnsi="Palatino Linotype" w:cs="Arial"/>
          <w:color w:val="000000" w:themeColor="text1"/>
          <w:sz w:val="24"/>
          <w:szCs w:val="24"/>
        </w:rPr>
        <w:t xml:space="preserve"> clasificación </w:t>
      </w:r>
      <w:r w:rsidRPr="00CE7631">
        <w:rPr>
          <w:rFonts w:ascii="Palatino Linotype" w:hAnsi="Palatino Linotype" w:cs="Arial"/>
          <w:color w:val="000000" w:themeColor="text1"/>
          <w:sz w:val="24"/>
          <w:szCs w:val="24"/>
        </w:rPr>
        <w:t xml:space="preserve">de la información </w:t>
      </w:r>
      <w:r w:rsidR="00171997" w:rsidRPr="00CE7631">
        <w:rPr>
          <w:rFonts w:ascii="Palatino Linotype" w:hAnsi="Palatino Linotype" w:cs="Arial"/>
          <w:color w:val="000000" w:themeColor="text1"/>
          <w:sz w:val="24"/>
          <w:szCs w:val="24"/>
        </w:rPr>
        <w:t xml:space="preserve">es la alta responsabilidad de indicar al particular el motivo por el cual la información </w:t>
      </w:r>
      <w:r w:rsidR="00D71594" w:rsidRPr="00CE7631">
        <w:rPr>
          <w:rFonts w:ascii="Palatino Linotype" w:hAnsi="Palatino Linotype" w:cs="Arial"/>
          <w:color w:val="000000" w:themeColor="text1"/>
          <w:sz w:val="24"/>
          <w:szCs w:val="24"/>
        </w:rPr>
        <w:t>no es susceptible de ser entregada</w:t>
      </w:r>
      <w:r w:rsidR="00171997" w:rsidRPr="00CE7631">
        <w:rPr>
          <w:rFonts w:ascii="Palatino Linotype" w:hAnsi="Palatino Linotype" w:cs="Arial"/>
          <w:color w:val="000000" w:themeColor="text1"/>
          <w:sz w:val="24"/>
          <w:szCs w:val="24"/>
        </w:rPr>
        <w:t xml:space="preserve">, razón por la que dicha declaratoria de </w:t>
      </w:r>
      <w:r w:rsidR="00D71594" w:rsidRPr="00CE7631">
        <w:rPr>
          <w:rFonts w:ascii="Palatino Linotype" w:hAnsi="Palatino Linotype" w:cs="Arial"/>
          <w:color w:val="000000" w:themeColor="text1"/>
          <w:sz w:val="24"/>
          <w:szCs w:val="24"/>
        </w:rPr>
        <w:t>confidencialidad</w:t>
      </w:r>
      <w:r w:rsidR="00171997" w:rsidRPr="00CE7631">
        <w:rPr>
          <w:rFonts w:ascii="Palatino Linotype" w:hAnsi="Palatino Linotype" w:cs="Arial"/>
          <w:color w:val="000000" w:themeColor="text1"/>
          <w:sz w:val="24"/>
          <w:szCs w:val="24"/>
        </w:rPr>
        <w:t xml:space="preserve"> debe de ir acompañada de una correcta fundamentación y motivación de tal forma que dé certeza que se actu</w:t>
      </w:r>
      <w:r w:rsidR="000F41EA" w:rsidRPr="00CE7631">
        <w:rPr>
          <w:rFonts w:ascii="Palatino Linotype" w:hAnsi="Palatino Linotype" w:cs="Arial"/>
          <w:color w:val="000000" w:themeColor="text1"/>
          <w:sz w:val="24"/>
          <w:szCs w:val="24"/>
        </w:rPr>
        <w:t>ó conforme a derecho y a su vez</w:t>
      </w:r>
      <w:r w:rsidR="00171997" w:rsidRPr="00CE7631">
        <w:rPr>
          <w:rFonts w:ascii="Palatino Linotype" w:hAnsi="Palatino Linotype" w:cs="Arial"/>
          <w:color w:val="000000" w:themeColor="text1"/>
          <w:sz w:val="24"/>
          <w:szCs w:val="24"/>
        </w:rPr>
        <w:t xml:space="preserve"> se encuentra </w:t>
      </w:r>
      <w:r w:rsidR="000F41EA" w:rsidRPr="00CE7631">
        <w:rPr>
          <w:rFonts w:ascii="Palatino Linotype" w:hAnsi="Palatino Linotype" w:cs="Arial"/>
          <w:color w:val="000000" w:themeColor="text1"/>
          <w:sz w:val="24"/>
          <w:szCs w:val="24"/>
        </w:rPr>
        <w:t xml:space="preserve">la </w:t>
      </w:r>
      <w:r w:rsidR="00171997" w:rsidRPr="00CE7631">
        <w:rPr>
          <w:rFonts w:ascii="Palatino Linotype" w:hAnsi="Palatino Linotype" w:cs="Arial"/>
          <w:color w:val="000000" w:themeColor="text1"/>
          <w:sz w:val="24"/>
          <w:szCs w:val="24"/>
        </w:rPr>
        <w:t>imposibili</w:t>
      </w:r>
      <w:r w:rsidR="000F41EA" w:rsidRPr="00CE7631">
        <w:rPr>
          <w:rFonts w:ascii="Palatino Linotype" w:hAnsi="Palatino Linotype" w:cs="Arial"/>
          <w:color w:val="000000" w:themeColor="text1"/>
          <w:sz w:val="24"/>
          <w:szCs w:val="24"/>
        </w:rPr>
        <w:t>dad de entregar lo solicitado.</w:t>
      </w:r>
      <w:r w:rsidR="00171997" w:rsidRPr="00CE7631">
        <w:rPr>
          <w:rFonts w:ascii="Palatino Linotype" w:hAnsi="Palatino Linotype" w:cs="Arial"/>
          <w:color w:val="000000" w:themeColor="text1"/>
          <w:sz w:val="24"/>
          <w:szCs w:val="24"/>
        </w:rPr>
        <w:t xml:space="preserve"> </w:t>
      </w:r>
      <w:r w:rsidR="000F41EA" w:rsidRPr="00CE7631">
        <w:rPr>
          <w:rFonts w:ascii="Palatino Linotype" w:hAnsi="Palatino Linotype" w:cs="Arial"/>
          <w:color w:val="000000" w:themeColor="text1"/>
          <w:sz w:val="24"/>
          <w:szCs w:val="24"/>
        </w:rPr>
        <w:t>L</w:t>
      </w:r>
      <w:r w:rsidR="00171997" w:rsidRPr="00CE7631">
        <w:rPr>
          <w:rFonts w:ascii="Palatino Linotype" w:hAnsi="Palatino Linotype" w:cs="Arial"/>
          <w:color w:val="000000" w:themeColor="text1"/>
          <w:sz w:val="24"/>
          <w:szCs w:val="24"/>
        </w:rPr>
        <w:t xml:space="preserve">a falta de dichos elementos </w:t>
      </w:r>
      <w:r w:rsidR="00EC68E3" w:rsidRPr="00CE7631">
        <w:rPr>
          <w:rFonts w:ascii="Palatino Linotype" w:hAnsi="Palatino Linotype" w:cs="Arial"/>
          <w:color w:val="000000" w:themeColor="text1"/>
          <w:sz w:val="24"/>
          <w:szCs w:val="24"/>
        </w:rPr>
        <w:t>provoca una afectación a</w:t>
      </w:r>
      <w:r w:rsidR="00171997" w:rsidRPr="00CE7631">
        <w:rPr>
          <w:rFonts w:ascii="Palatino Linotype" w:hAnsi="Palatino Linotype" w:cs="Arial"/>
          <w:color w:val="000000" w:themeColor="text1"/>
          <w:sz w:val="24"/>
          <w:szCs w:val="24"/>
        </w:rPr>
        <w:t>l</w:t>
      </w:r>
      <w:r w:rsidRPr="00CE7631">
        <w:rPr>
          <w:rFonts w:ascii="Palatino Linotype" w:hAnsi="Palatino Linotype" w:cs="Arial"/>
          <w:color w:val="000000" w:themeColor="text1"/>
          <w:sz w:val="24"/>
          <w:szCs w:val="24"/>
        </w:rPr>
        <w:t xml:space="preserve"> </w:t>
      </w:r>
      <w:r w:rsidR="00EC68E3" w:rsidRPr="00CE7631">
        <w:rPr>
          <w:rFonts w:ascii="Palatino Linotype" w:hAnsi="Palatino Linotype" w:cs="Arial"/>
          <w:color w:val="000000" w:themeColor="text1"/>
          <w:sz w:val="24"/>
          <w:szCs w:val="24"/>
        </w:rPr>
        <w:t>derecho</w:t>
      </w:r>
      <w:r w:rsidR="00171997" w:rsidRPr="00CE7631">
        <w:rPr>
          <w:rFonts w:ascii="Palatino Linotype" w:hAnsi="Palatino Linotype" w:cs="Arial"/>
          <w:color w:val="000000" w:themeColor="text1"/>
          <w:sz w:val="24"/>
          <w:szCs w:val="24"/>
        </w:rPr>
        <w:t xml:space="preserve"> de los particulares</w:t>
      </w:r>
      <w:r w:rsidR="00EC68E3" w:rsidRPr="00CE7631">
        <w:rPr>
          <w:rFonts w:ascii="Palatino Linotype" w:hAnsi="Palatino Linotype" w:cs="Arial"/>
          <w:color w:val="000000" w:themeColor="text1"/>
          <w:sz w:val="24"/>
          <w:szCs w:val="24"/>
        </w:rPr>
        <w:t xml:space="preserve">, </w:t>
      </w:r>
      <w:r w:rsidR="00171997" w:rsidRPr="00CE7631">
        <w:rPr>
          <w:rFonts w:ascii="Palatino Linotype" w:hAnsi="Palatino Linotype" w:cs="Arial"/>
          <w:color w:val="000000" w:themeColor="text1"/>
          <w:sz w:val="24"/>
          <w:szCs w:val="24"/>
        </w:rPr>
        <w:t>y más aún, cuando se encuentran elementos de convicción que ayudan a determinar que la información</w:t>
      </w:r>
      <w:r w:rsidR="00D71594" w:rsidRPr="00CE7631">
        <w:rPr>
          <w:rFonts w:ascii="Palatino Linotype" w:hAnsi="Palatino Linotype" w:cs="Arial"/>
          <w:color w:val="000000" w:themeColor="text1"/>
          <w:sz w:val="24"/>
          <w:szCs w:val="24"/>
        </w:rPr>
        <w:t xml:space="preserve"> puede ser entregada</w:t>
      </w:r>
      <w:r w:rsidR="000F41EA" w:rsidRPr="00CE7631">
        <w:rPr>
          <w:rFonts w:ascii="Palatino Linotype" w:hAnsi="Palatino Linotype" w:cs="Arial"/>
          <w:color w:val="000000" w:themeColor="text1"/>
          <w:sz w:val="24"/>
          <w:szCs w:val="24"/>
        </w:rPr>
        <w:t>.</w:t>
      </w:r>
      <w:r w:rsidR="00171997" w:rsidRPr="00CE7631">
        <w:rPr>
          <w:rFonts w:ascii="Palatino Linotype" w:hAnsi="Palatino Linotype" w:cs="Arial"/>
          <w:color w:val="000000" w:themeColor="text1"/>
          <w:sz w:val="24"/>
          <w:szCs w:val="24"/>
        </w:rPr>
        <w:t xml:space="preserve"> E</w:t>
      </w:r>
      <w:r w:rsidR="00EC68E3" w:rsidRPr="00CE7631">
        <w:rPr>
          <w:rFonts w:ascii="Palatino Linotype" w:hAnsi="Palatino Linotype" w:cs="Arial"/>
          <w:color w:val="000000" w:themeColor="text1"/>
          <w:sz w:val="24"/>
          <w:szCs w:val="24"/>
        </w:rPr>
        <w:t xml:space="preserve">n ese sentido, el deber de reparación de los Sujetos Obligados no solo debe versar en la entrega de la </w:t>
      </w:r>
      <w:r w:rsidR="00EC68E3" w:rsidRPr="00CE7631">
        <w:rPr>
          <w:rFonts w:ascii="Palatino Linotype" w:hAnsi="Palatino Linotype" w:cs="Arial"/>
          <w:color w:val="000000" w:themeColor="text1"/>
          <w:sz w:val="24"/>
          <w:szCs w:val="24"/>
        </w:rPr>
        <w:lastRenderedPageBreak/>
        <w:t xml:space="preserve">información completa, sino también, en cubrir los gastos de reproducción y envío, tal y como lo establece la Ley en materia, esto, </w:t>
      </w:r>
      <w:r w:rsidR="000F41EA" w:rsidRPr="00CE7631">
        <w:rPr>
          <w:rFonts w:ascii="Palatino Linotype" w:hAnsi="Palatino Linotype" w:cs="Arial"/>
          <w:color w:val="000000" w:themeColor="text1"/>
          <w:sz w:val="24"/>
          <w:szCs w:val="24"/>
        </w:rPr>
        <w:t xml:space="preserve">con la finalidad </w:t>
      </w:r>
      <w:r w:rsidR="00EC68E3" w:rsidRPr="00CE7631">
        <w:rPr>
          <w:rFonts w:ascii="Palatino Linotype" w:hAnsi="Palatino Linotype" w:cs="Arial"/>
          <w:color w:val="000000" w:themeColor="text1"/>
          <w:sz w:val="24"/>
          <w:szCs w:val="24"/>
        </w:rPr>
        <w:t xml:space="preserve">de disminuir el alto índice de negligencia </w:t>
      </w:r>
      <w:r w:rsidR="000F41EA" w:rsidRPr="00CE7631">
        <w:rPr>
          <w:rFonts w:ascii="Palatino Linotype" w:hAnsi="Palatino Linotype" w:cs="Arial"/>
          <w:color w:val="000000" w:themeColor="text1"/>
          <w:sz w:val="24"/>
          <w:szCs w:val="24"/>
        </w:rPr>
        <w:t>por parte de lo</w:t>
      </w:r>
      <w:r w:rsidR="00EC68E3" w:rsidRPr="00CE7631">
        <w:rPr>
          <w:rFonts w:ascii="Palatino Linotype" w:hAnsi="Palatino Linotype" w:cs="Arial"/>
          <w:color w:val="000000" w:themeColor="text1"/>
          <w:sz w:val="24"/>
          <w:szCs w:val="24"/>
        </w:rPr>
        <w:t xml:space="preserve">s </w:t>
      </w:r>
      <w:r w:rsidR="000F41EA" w:rsidRPr="00CE7631">
        <w:rPr>
          <w:rFonts w:ascii="Palatino Linotype" w:hAnsi="Palatino Linotype" w:cs="Arial"/>
          <w:color w:val="000000" w:themeColor="text1"/>
          <w:sz w:val="24"/>
          <w:szCs w:val="24"/>
        </w:rPr>
        <w:t>Sujetos Obligados para</w:t>
      </w:r>
      <w:r w:rsidR="00EC68E3" w:rsidRPr="00CE7631">
        <w:rPr>
          <w:rFonts w:ascii="Palatino Linotype" w:hAnsi="Palatino Linotype" w:cs="Arial"/>
          <w:color w:val="000000" w:themeColor="text1"/>
          <w:sz w:val="24"/>
          <w:szCs w:val="24"/>
        </w:rPr>
        <w:t xml:space="preserve"> atender </w:t>
      </w:r>
      <w:r w:rsidR="000F41EA" w:rsidRPr="00CE7631">
        <w:rPr>
          <w:rFonts w:ascii="Palatino Linotype" w:hAnsi="Palatino Linotype" w:cs="Arial"/>
          <w:color w:val="000000" w:themeColor="text1"/>
          <w:sz w:val="24"/>
          <w:szCs w:val="24"/>
        </w:rPr>
        <w:t xml:space="preserve">las solicitudes de información y a su vez hacer cumplir con las </w:t>
      </w:r>
      <w:r w:rsidR="00EC68E3" w:rsidRPr="00CE7631">
        <w:rPr>
          <w:rFonts w:ascii="Palatino Linotype" w:hAnsi="Palatino Linotype" w:cs="Arial"/>
          <w:color w:val="000000" w:themeColor="text1"/>
          <w:sz w:val="24"/>
          <w:szCs w:val="24"/>
        </w:rPr>
        <w:t>obligaciones que establece la Ley de Transparencia y Acceso a la información Pública del Estado de México y Municipios.</w:t>
      </w:r>
    </w:p>
    <w:p w:rsidR="004A6C66" w:rsidRDefault="004A6C66" w:rsidP="004A6C66">
      <w:pPr>
        <w:spacing w:after="0" w:line="360" w:lineRule="auto"/>
        <w:contextualSpacing/>
        <w:jc w:val="both"/>
        <w:rPr>
          <w:rFonts w:ascii="Palatino Linotype" w:hAnsi="Palatino Linotype" w:cs="Arial"/>
          <w:color w:val="000000" w:themeColor="text1"/>
          <w:sz w:val="24"/>
          <w:szCs w:val="24"/>
        </w:rPr>
      </w:pPr>
    </w:p>
    <w:p w:rsidR="004A6C66" w:rsidRPr="004A6C66" w:rsidRDefault="004A6C66" w:rsidP="004A6C66">
      <w:pPr>
        <w:spacing w:after="0" w:line="360" w:lineRule="auto"/>
        <w:contextualSpacing/>
        <w:jc w:val="both"/>
        <w:rPr>
          <w:rFonts w:ascii="Palatino Linotype" w:hAnsi="Palatino Linotype" w:cs="Arial"/>
          <w:color w:val="000000" w:themeColor="text1"/>
          <w:sz w:val="24"/>
          <w:szCs w:val="24"/>
        </w:rPr>
      </w:pPr>
    </w:p>
    <w:tbl>
      <w:tblPr>
        <w:tblStyle w:val="Tablaconcuadrcula"/>
        <w:tblpPr w:leftFromText="141" w:rightFromText="141" w:vertAnchor="text" w:horzAnchor="margin" w:tblpX="-289" w:tblpY="3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073"/>
      </w:tblGrid>
      <w:tr w:rsidR="004A6C66" w:rsidRPr="004A6C66" w:rsidTr="004A6C66">
        <w:trPr>
          <w:trHeight w:val="1057"/>
        </w:trPr>
        <w:tc>
          <w:tcPr>
            <w:tcW w:w="4703" w:type="dxa"/>
          </w:tcPr>
          <w:p w:rsidR="004A6C66" w:rsidRPr="004A6C66" w:rsidRDefault="004A6C66" w:rsidP="004A6C66">
            <w:pPr>
              <w:spacing w:line="360" w:lineRule="auto"/>
              <w:contextualSpacing/>
              <w:rPr>
                <w:rFonts w:ascii="Palatino Linotype" w:hAnsi="Palatino Linotype" w:cs="Arial"/>
                <w:color w:val="000000" w:themeColor="text1"/>
                <w:sz w:val="23"/>
                <w:szCs w:val="23"/>
              </w:rPr>
            </w:pP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r w:rsidRPr="004A6C66">
              <w:rPr>
                <w:rFonts w:ascii="Palatino Linotype" w:hAnsi="Palatino Linotype" w:cs="Arial"/>
                <w:b/>
                <w:color w:val="000000" w:themeColor="text1"/>
                <w:sz w:val="23"/>
                <w:szCs w:val="23"/>
              </w:rPr>
              <w:t>JOSÉ GUADALUPE LUNA HERNÁNDEZ</w:t>
            </w: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r w:rsidRPr="004A6C66">
              <w:rPr>
                <w:rFonts w:ascii="Palatino Linotype" w:hAnsi="Palatino Linotype" w:cs="Arial"/>
                <w:b/>
                <w:color w:val="000000" w:themeColor="text1"/>
                <w:sz w:val="23"/>
                <w:szCs w:val="23"/>
              </w:rPr>
              <w:t>COMISIONADO</w:t>
            </w: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p>
          <w:p w:rsidR="004A6C66" w:rsidRPr="004A6C66" w:rsidRDefault="004A6C66" w:rsidP="004A6C66">
            <w:pPr>
              <w:spacing w:line="360" w:lineRule="auto"/>
              <w:contextualSpacing/>
              <w:jc w:val="both"/>
              <w:rPr>
                <w:rFonts w:ascii="Palatino Linotype" w:hAnsi="Palatino Linotype" w:cs="Arial"/>
                <w:color w:val="000000" w:themeColor="text1"/>
                <w:sz w:val="23"/>
                <w:szCs w:val="23"/>
              </w:rPr>
            </w:pPr>
          </w:p>
          <w:p w:rsidR="004A6C66" w:rsidRPr="004A6C66" w:rsidRDefault="004A6C66" w:rsidP="004A6C66">
            <w:pPr>
              <w:spacing w:line="360" w:lineRule="auto"/>
              <w:contextualSpacing/>
              <w:jc w:val="both"/>
              <w:rPr>
                <w:rFonts w:ascii="Palatino Linotype" w:hAnsi="Palatino Linotype" w:cs="Arial"/>
                <w:color w:val="000000" w:themeColor="text1"/>
                <w:sz w:val="23"/>
                <w:szCs w:val="23"/>
              </w:rPr>
            </w:pPr>
          </w:p>
        </w:tc>
        <w:tc>
          <w:tcPr>
            <w:tcW w:w="5073" w:type="dxa"/>
          </w:tcPr>
          <w:p w:rsidR="004A6C66" w:rsidRPr="004A6C66" w:rsidRDefault="004A6C66" w:rsidP="004A6C66">
            <w:pPr>
              <w:spacing w:line="360" w:lineRule="auto"/>
              <w:contextualSpacing/>
              <w:jc w:val="both"/>
              <w:rPr>
                <w:rFonts w:ascii="Palatino Linotype" w:hAnsi="Palatino Linotype" w:cs="Arial"/>
                <w:b/>
                <w:color w:val="000000" w:themeColor="text1"/>
                <w:sz w:val="23"/>
                <w:szCs w:val="23"/>
              </w:rPr>
            </w:pP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r w:rsidRPr="004A6C66">
              <w:rPr>
                <w:rFonts w:ascii="Palatino Linotype" w:hAnsi="Palatino Linotype" w:cs="Arial"/>
                <w:b/>
                <w:color w:val="000000" w:themeColor="text1"/>
                <w:sz w:val="23"/>
                <w:szCs w:val="23"/>
              </w:rPr>
              <w:t>LUIS GUSTAVO PARRA NORIEGA</w:t>
            </w: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r>
              <w:rPr>
                <w:rFonts w:ascii="Palatino Linotype" w:hAnsi="Palatino Linotype" w:cs="Arial"/>
                <w:b/>
                <w:color w:val="000000" w:themeColor="text1"/>
                <w:sz w:val="23"/>
                <w:szCs w:val="23"/>
              </w:rPr>
              <w:t>COMI</w:t>
            </w:r>
            <w:r w:rsidRPr="004A6C66">
              <w:rPr>
                <w:rFonts w:ascii="Palatino Linotype" w:hAnsi="Palatino Linotype" w:cs="Arial"/>
                <w:b/>
                <w:color w:val="000000" w:themeColor="text1"/>
                <w:sz w:val="23"/>
                <w:szCs w:val="23"/>
              </w:rPr>
              <w:t>SIONADO</w:t>
            </w: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p>
          <w:p w:rsidR="004A6C66" w:rsidRPr="004A6C66" w:rsidRDefault="004A6C66" w:rsidP="004A6C66">
            <w:pPr>
              <w:spacing w:line="360" w:lineRule="auto"/>
              <w:contextualSpacing/>
              <w:jc w:val="both"/>
              <w:rPr>
                <w:rFonts w:ascii="Palatino Linotype" w:hAnsi="Palatino Linotype" w:cs="Arial"/>
                <w:color w:val="000000" w:themeColor="text1"/>
                <w:sz w:val="23"/>
                <w:szCs w:val="23"/>
              </w:rPr>
            </w:pPr>
            <w:bookmarkStart w:id="8" w:name="_GoBack"/>
            <w:bookmarkEnd w:id="8"/>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A6C66" w:rsidRPr="004A6C66" w:rsidTr="004A6C66">
        <w:tc>
          <w:tcPr>
            <w:tcW w:w="8828" w:type="dxa"/>
          </w:tcPr>
          <w:p w:rsidR="004A6C66" w:rsidRPr="004A6C66" w:rsidRDefault="004A6C66" w:rsidP="004A6C66">
            <w:pPr>
              <w:spacing w:line="360" w:lineRule="auto"/>
              <w:contextualSpacing/>
              <w:jc w:val="both"/>
              <w:rPr>
                <w:rFonts w:ascii="Palatino Linotype" w:hAnsi="Palatino Linotype" w:cs="Arial"/>
                <w:color w:val="000000" w:themeColor="text1"/>
                <w:sz w:val="23"/>
                <w:szCs w:val="23"/>
              </w:rPr>
            </w:pPr>
          </w:p>
          <w:p w:rsidR="004A6C66" w:rsidRPr="004A6C66" w:rsidRDefault="004A6C66" w:rsidP="004A6C66">
            <w:pPr>
              <w:spacing w:line="360" w:lineRule="auto"/>
              <w:contextualSpacing/>
              <w:jc w:val="both"/>
              <w:rPr>
                <w:rFonts w:ascii="Palatino Linotype" w:hAnsi="Palatino Linotype" w:cs="Arial"/>
                <w:color w:val="000000" w:themeColor="text1"/>
                <w:sz w:val="23"/>
                <w:szCs w:val="23"/>
              </w:rPr>
            </w:pP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r w:rsidRPr="004A6C66">
              <w:rPr>
                <w:rFonts w:ascii="Palatino Linotype" w:hAnsi="Palatino Linotype" w:cs="Arial"/>
                <w:b/>
                <w:color w:val="000000" w:themeColor="text1"/>
                <w:sz w:val="23"/>
                <w:szCs w:val="23"/>
              </w:rPr>
              <w:t>JAVIER MARTÍNEZ CRUZ</w:t>
            </w:r>
          </w:p>
          <w:p w:rsidR="004A6C66" w:rsidRPr="004A6C66" w:rsidRDefault="004A6C66" w:rsidP="004A6C66">
            <w:pPr>
              <w:spacing w:line="360" w:lineRule="auto"/>
              <w:contextualSpacing/>
              <w:jc w:val="center"/>
              <w:rPr>
                <w:rFonts w:ascii="Palatino Linotype" w:hAnsi="Palatino Linotype" w:cs="Arial"/>
                <w:b/>
                <w:color w:val="000000" w:themeColor="text1"/>
                <w:sz w:val="23"/>
                <w:szCs w:val="23"/>
              </w:rPr>
            </w:pPr>
            <w:r w:rsidRPr="004A6C66">
              <w:rPr>
                <w:rFonts w:ascii="Palatino Linotype" w:hAnsi="Palatino Linotype" w:cs="Arial"/>
                <w:b/>
                <w:color w:val="000000" w:themeColor="text1"/>
                <w:sz w:val="23"/>
                <w:szCs w:val="23"/>
              </w:rPr>
              <w:t>COMISIONADO</w:t>
            </w:r>
          </w:p>
          <w:p w:rsidR="004A6C66" w:rsidRPr="004A6C66" w:rsidRDefault="004A6C66" w:rsidP="000D2E94">
            <w:pPr>
              <w:spacing w:line="360" w:lineRule="auto"/>
              <w:contextualSpacing/>
              <w:jc w:val="center"/>
              <w:rPr>
                <w:rFonts w:ascii="Palatino Linotype" w:hAnsi="Palatino Linotype" w:cs="Arial"/>
                <w:color w:val="000000" w:themeColor="text1"/>
                <w:sz w:val="23"/>
                <w:szCs w:val="23"/>
              </w:rPr>
            </w:pPr>
          </w:p>
        </w:tc>
      </w:tr>
    </w:tbl>
    <w:p w:rsidR="004A6C66" w:rsidRDefault="004A6C66" w:rsidP="004A6C66">
      <w:pPr>
        <w:spacing w:line="360" w:lineRule="auto"/>
        <w:rPr>
          <w:rFonts w:ascii="Palatino Linotype" w:eastAsia="Calibri" w:hAnsi="Palatino Linotype" w:cs="Arial"/>
          <w:b/>
          <w:color w:val="000000" w:themeColor="text1"/>
          <w:sz w:val="24"/>
          <w:szCs w:val="24"/>
        </w:rPr>
      </w:pPr>
    </w:p>
    <w:p w:rsidR="000D2E94" w:rsidRDefault="000D2E94" w:rsidP="004A6C66">
      <w:pPr>
        <w:spacing w:line="360" w:lineRule="auto"/>
        <w:rPr>
          <w:rFonts w:ascii="Palatino Linotype" w:eastAsia="Calibri" w:hAnsi="Palatino Linotype" w:cs="Arial"/>
          <w:b/>
          <w:color w:val="000000" w:themeColor="text1"/>
          <w:sz w:val="24"/>
          <w:szCs w:val="24"/>
        </w:rPr>
      </w:pPr>
    </w:p>
    <w:p w:rsidR="00F154C8" w:rsidRPr="004A6C66" w:rsidRDefault="00CE7631" w:rsidP="004A6C66">
      <w:pPr>
        <w:spacing w:line="360" w:lineRule="auto"/>
        <w:jc w:val="right"/>
        <w:rPr>
          <w:rFonts w:ascii="Palatino Linotype" w:eastAsia="Calibri" w:hAnsi="Palatino Linotype" w:cs="Arial"/>
          <w:b/>
          <w:color w:val="000000" w:themeColor="text1"/>
          <w:sz w:val="23"/>
          <w:szCs w:val="23"/>
        </w:rPr>
      </w:pPr>
      <w:r w:rsidRPr="004A6C66">
        <w:rPr>
          <w:rFonts w:ascii="Palatino Linotype" w:eastAsia="Calibri" w:hAnsi="Palatino Linotype" w:cs="Arial"/>
          <w:b/>
          <w:color w:val="000000" w:themeColor="text1"/>
          <w:sz w:val="23"/>
          <w:szCs w:val="23"/>
        </w:rPr>
        <w:t>JGLH/MPBR</w:t>
      </w:r>
      <w:r w:rsidR="00712B28" w:rsidRPr="004A6C66">
        <w:rPr>
          <w:rFonts w:ascii="Palatino Linotype" w:eastAsia="Calibri" w:hAnsi="Palatino Linotype" w:cs="Arial"/>
          <w:b/>
          <w:color w:val="000000" w:themeColor="text1"/>
          <w:sz w:val="23"/>
          <w:szCs w:val="23"/>
        </w:rPr>
        <w:t>.</w:t>
      </w:r>
    </w:p>
    <w:sectPr w:rsidR="00F154C8" w:rsidRPr="004A6C66" w:rsidSect="00E922BD">
      <w:headerReference w:type="even" r:id="rId7"/>
      <w:headerReference w:type="default" r:id="rId8"/>
      <w:footerReference w:type="even" r:id="rId9"/>
      <w:footerReference w:type="default" r:id="rId10"/>
      <w:headerReference w:type="first" r:id="rId11"/>
      <w:footerReference w:type="first" r:id="rId12"/>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CAB" w:rsidRDefault="004B0CAB" w:rsidP="00E706DA">
      <w:pPr>
        <w:spacing w:after="0" w:line="240" w:lineRule="auto"/>
      </w:pPr>
      <w:r>
        <w:separator/>
      </w:r>
    </w:p>
  </w:endnote>
  <w:endnote w:type="continuationSeparator" w:id="0">
    <w:p w:rsidR="004B0CAB" w:rsidRDefault="004B0CAB"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B0C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1C6398">
              <w:rPr>
                <w:rFonts w:ascii="Palatino Linotype" w:hAnsi="Palatino Linotype"/>
                <w:b/>
                <w:bCs/>
                <w:noProof/>
                <w:sz w:val="20"/>
                <w:szCs w:val="20"/>
              </w:rPr>
              <w:t>22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1C6398">
              <w:rPr>
                <w:rFonts w:ascii="Palatino Linotype" w:hAnsi="Palatino Linotype"/>
                <w:b/>
                <w:bCs/>
                <w:noProof/>
                <w:sz w:val="20"/>
                <w:szCs w:val="20"/>
              </w:rPr>
              <w:t>22</w:t>
            </w:r>
            <w:r w:rsidRPr="0052203D">
              <w:rPr>
                <w:rFonts w:ascii="Palatino Linotype" w:hAnsi="Palatino Linotype"/>
                <w:b/>
                <w:bCs/>
                <w:sz w:val="20"/>
                <w:szCs w:val="20"/>
              </w:rPr>
              <w:fldChar w:fldCharType="end"/>
            </w:r>
          </w:p>
        </w:sdtContent>
      </w:sdt>
    </w:sdtContent>
  </w:sdt>
  <w:p w:rsidR="00951E8B" w:rsidRDefault="004B0C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B0C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CAB" w:rsidRDefault="004B0CAB" w:rsidP="00E706DA">
      <w:pPr>
        <w:spacing w:after="0" w:line="240" w:lineRule="auto"/>
      </w:pPr>
      <w:r>
        <w:separator/>
      </w:r>
    </w:p>
  </w:footnote>
  <w:footnote w:type="continuationSeparator" w:id="0">
    <w:p w:rsidR="004B0CAB" w:rsidRDefault="004B0CAB" w:rsidP="00E706DA">
      <w:pPr>
        <w:spacing w:after="0" w:line="240" w:lineRule="auto"/>
      </w:pPr>
      <w:r>
        <w:continuationSeparator/>
      </w:r>
    </w:p>
  </w:footnote>
  <w:footnote w:id="1">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154C8">
        <w:rPr>
          <w:rFonts w:ascii="Palatino Linotype" w:hAnsi="Palatino Linotype" w:cs="Arial"/>
          <w:i/>
        </w:rPr>
        <w:t>Derechos y Garantías. La ley del más débil.</w:t>
      </w:r>
      <w:r w:rsidRPr="00F154C8">
        <w:rPr>
          <w:rFonts w:ascii="Palatino Linotype" w:hAnsi="Palatino Linotype" w:cs="Arial"/>
        </w:rPr>
        <w:t xml:space="preserve"> Séptima edición, Madrid. Editorial Trotta, 2010. Pág. 24</w:t>
      </w:r>
    </w:p>
  </w:footnote>
  <w:footnote w:id="2">
    <w:p w:rsidR="00EC68E3" w:rsidRPr="00FA14E5" w:rsidRDefault="00EC68E3" w:rsidP="00EC68E3">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“Por lo tanto, los principios son mandatos de optimización, que se caracterizan porque pueden cumplirse en diferente grado y que la medida debida de su cumplimiento no sólo depende de las posibilidades reales sino también de las jurídicas”. Alexy, Robert. </w:t>
      </w:r>
      <w:r w:rsidRPr="00F154C8">
        <w:rPr>
          <w:rFonts w:ascii="Palatino Linotype" w:hAnsi="Palatino Linotype" w:cs="Arial"/>
          <w:i/>
        </w:rPr>
        <w:t>Teoría de los derechos fundamentales.</w:t>
      </w:r>
      <w:r w:rsidRPr="00F154C8">
        <w:rPr>
          <w:rFonts w:ascii="Palatino Linotype" w:hAnsi="Palatino Linotype" w:cs="Arial"/>
        </w:rPr>
        <w:t xml:space="preserve"> Segunda edición, Madrid, Ed, Centro de Estudios Políticos y Constitucionales. 2014. Pág. 68.</w:t>
      </w:r>
    </w:p>
  </w:footnote>
  <w:footnote w:id="3">
    <w:p w:rsidR="00EC68E3" w:rsidRPr="00F154C8" w:rsidRDefault="00EC68E3" w:rsidP="00EC68E3">
      <w:pPr>
        <w:pStyle w:val="Textonotapie"/>
        <w:rPr>
          <w:rFonts w:ascii="Palatino Linotype" w:hAnsi="Palatino Linotype"/>
        </w:rPr>
      </w:pPr>
      <w:r w:rsidRPr="00F154C8">
        <w:rPr>
          <w:rStyle w:val="Refdenotaalpie"/>
          <w:rFonts w:ascii="Palatino Linotype" w:hAnsi="Palatino Linotype"/>
        </w:rPr>
        <w:footnoteRef/>
      </w:r>
      <w:r w:rsidRPr="00F154C8">
        <w:rPr>
          <w:rFonts w:ascii="Palatino Linotype" w:hAnsi="Palatino Linotype"/>
        </w:rPr>
        <w:t xml:space="preserve"> Convención Americana sobre Derechos Humanos. Artículo 13.</w:t>
      </w:r>
    </w:p>
  </w:footnote>
  <w:footnote w:id="4">
    <w:p w:rsidR="00EC68E3" w:rsidRPr="00F154C8" w:rsidRDefault="00EC68E3" w:rsidP="00EC68E3">
      <w:pPr>
        <w:pStyle w:val="Textonotapie"/>
        <w:rPr>
          <w:rFonts w:ascii="Palatino Linotype" w:hAnsi="Palatino Linotype"/>
        </w:rPr>
      </w:pPr>
      <w:r w:rsidRPr="00F154C8">
        <w:rPr>
          <w:rStyle w:val="Refdenotaalpie"/>
          <w:rFonts w:ascii="Palatino Linotype" w:hAnsi="Palatino Linotype"/>
        </w:rPr>
        <w:footnoteRef/>
      </w:r>
      <w:r w:rsidRPr="00F154C8">
        <w:rPr>
          <w:rFonts w:ascii="Palatino Linotype" w:hAnsi="Palatino Linotype"/>
        </w:rPr>
        <w:t xml:space="preserve"> Constitución Política de los Estados Unidos Mexicanos. Artículo sexto, sección A, Fracción I.</w:t>
      </w:r>
    </w:p>
  </w:footnote>
  <w:footnote w:id="5">
    <w:p w:rsidR="00EC68E3" w:rsidRPr="00F154C8" w:rsidRDefault="00EC68E3" w:rsidP="00EC68E3">
      <w:pPr>
        <w:pStyle w:val="Textonotapie"/>
        <w:rPr>
          <w:rFonts w:ascii="Palatino Linotype" w:hAnsi="Palatino Linotype"/>
        </w:rPr>
      </w:pPr>
      <w:r w:rsidRPr="00F154C8">
        <w:rPr>
          <w:rStyle w:val="Refdenotaalpie"/>
          <w:rFonts w:ascii="Palatino Linotype" w:hAnsi="Palatino Linotype"/>
        </w:rPr>
        <w:footnoteRef/>
      </w:r>
      <w:r w:rsidRPr="00F154C8">
        <w:rPr>
          <w:rFonts w:ascii="Palatino Linotype" w:hAnsi="Palatino Linotype"/>
        </w:rPr>
        <w:t xml:space="preserve"> Corte Interamericana de Derechos Humanos. Caso Claude Reyes y otros vs Chile. Sentencia de 19 de septiembre de 2006. Serie C. No. 151. Párr. 86.</w:t>
      </w:r>
    </w:p>
  </w:footnote>
  <w:footnote w:id="6">
    <w:p w:rsidR="00EC68E3" w:rsidRDefault="00EC68E3" w:rsidP="00EC68E3">
      <w:pPr>
        <w:pStyle w:val="Textonotapie"/>
      </w:pPr>
      <w:r w:rsidRPr="00F154C8">
        <w:rPr>
          <w:rStyle w:val="Refdenotaalpie"/>
          <w:rFonts w:ascii="Palatino Linotype" w:hAnsi="Palatino Linotype"/>
        </w:rPr>
        <w:footnoteRef/>
      </w:r>
      <w:r w:rsidRPr="00F154C8">
        <w:rPr>
          <w:rFonts w:ascii="Palatino Linotype" w:hAnsi="Palatino Linotype"/>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154C8">
          <w:rPr>
            <w:rStyle w:val="Hipervnculo"/>
            <w:rFonts w:ascii="Palatino Linotype" w:hAnsi="Palatino Linotype"/>
          </w:rPr>
          <w:t>http://www.oas.org/es/cidh/expresion/documentos_basicos/declaraciones.asp</w:t>
        </w:r>
      </w:hyperlink>
      <w:r w:rsidRPr="00F154C8">
        <w:rPr>
          <w:rFonts w:ascii="Palatino Linotype" w:hAnsi="Palatino Linotype"/>
        </w:rPr>
        <w:t>.</w:t>
      </w:r>
    </w:p>
  </w:footnote>
  <w:footnote w:id="7">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La democracia a través de los derechos., El constitucionalismo garantista como modelo teórico y como proyecto político.</w:t>
      </w:r>
      <w:r w:rsidRPr="00F154C8">
        <w:rPr>
          <w:rFonts w:ascii="Palatino Linotype" w:hAnsi="Palatino Linotype" w:cs="Arial"/>
        </w:rPr>
        <w:t xml:space="preserve"> Madrid. Ed. Trotta, 2014.Pág. 62.</w:t>
      </w:r>
    </w:p>
  </w:footnote>
  <w:footnote w:id="8">
    <w:p w:rsidR="00EC68E3" w:rsidRPr="00FA14E5" w:rsidRDefault="00EC68E3" w:rsidP="00EC68E3">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Poderes salvajes. La crisis de la democracia constitucional.</w:t>
      </w:r>
      <w:r w:rsidRPr="00F154C8">
        <w:rPr>
          <w:rFonts w:ascii="Palatino Linotype" w:hAnsi="Palatino Linotype" w:cs="Arial"/>
        </w:rPr>
        <w:t xml:space="preserve"> Segunda edición, Madrid. Ed. Mínima Trotta. 2011. Pág. 40.</w:t>
      </w:r>
    </w:p>
  </w:footnote>
  <w:footnote w:id="9">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Comisión Interamericana de Derechos Humanos. Relatoría Especial para la Libertad de Expresión. El derecho de acceso a la información pública en el marco jurídico interamericano. 2ª. Edición, OEA, 2012. Párr. 29.</w:t>
      </w:r>
    </w:p>
  </w:footnote>
  <w:footnote w:id="10">
    <w:p w:rsidR="00EC68E3" w:rsidRPr="00FA14E5" w:rsidRDefault="00EC68E3" w:rsidP="00EC68E3">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Corte Interamericana de Derechos Humanos. Caso Claude Reyes y otros contra Chile. Sentencia de 19 de septiembre de 2006. Párrfs. 116-139.</w:t>
      </w:r>
    </w:p>
  </w:footnote>
  <w:footnote w:id="11">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OPINIÓN PARTICULAR DEL COMISIONADO JOSÉ GUADALUPE LUNA HERNÁNDEZ EN EL RECURSO DE REVISIÓN 01750/INFOEM/IP/RR/2015 Y 01751/INFOEM/IP/RR/2015. Párr. 21.</w:t>
      </w:r>
    </w:p>
  </w:footnote>
  <w:footnote w:id="12">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 xml:space="preserve">La demo…cit. </w:t>
      </w:r>
      <w:r w:rsidRPr="00F154C8">
        <w:rPr>
          <w:rFonts w:ascii="Palatino Linotype" w:hAnsi="Palatino Linotype" w:cs="Arial"/>
        </w:rPr>
        <w:t>Pág. 62.</w:t>
      </w:r>
    </w:p>
  </w:footnote>
  <w:footnote w:id="13">
    <w:p w:rsidR="00EC68E3" w:rsidRPr="00FA14E5" w:rsidRDefault="00EC68E3" w:rsidP="00EC68E3">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 xml:space="preserve">Pode… cit. </w:t>
      </w:r>
      <w:r w:rsidRPr="00F154C8">
        <w:rPr>
          <w:rFonts w:ascii="Palatino Linotype" w:hAnsi="Palatino Linotype" w:cs="Arial"/>
        </w:rPr>
        <w:t>Pág. 40.</w:t>
      </w:r>
    </w:p>
  </w:footnote>
  <w:footnote w:id="14">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Oroza vs. Bolivia. Sentencia de 27 de febrero de 2002 (Reparaciones y Costas). Párr. 120.</w:t>
      </w:r>
    </w:p>
  </w:footnote>
  <w:footnote w:id="15">
    <w:p w:rsidR="00EC68E3" w:rsidRPr="00F154C8" w:rsidRDefault="00EC68E3" w:rsidP="00EC68E3">
      <w:pPr>
        <w:pStyle w:val="Textonotapie"/>
        <w:rPr>
          <w:rFonts w:ascii="Palatino Linotype" w:hAnsi="Palatino Linotype"/>
        </w:rPr>
      </w:pPr>
      <w:r w:rsidRPr="00F154C8">
        <w:rPr>
          <w:rStyle w:val="Refdenotaalpie"/>
          <w:rFonts w:ascii="Palatino Linotype" w:hAnsi="Palatino Linotype"/>
        </w:rPr>
        <w:footnoteRef/>
      </w:r>
      <w:r w:rsidRPr="00F154C8">
        <w:rPr>
          <w:rFonts w:ascii="Palatino Linotype" w:hAnsi="Palatino Linotype"/>
        </w:rPr>
        <w:t xml:space="preserve"> Suprema Corte de Justicia de la Nación. Expediente Varios 912/2010.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B0C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B0C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4B0CA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B0C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5"/>
  </w:num>
  <w:num w:numId="6">
    <w:abstractNumId w:val="7"/>
  </w:num>
  <w:num w:numId="7">
    <w:abstractNumId w:val="9"/>
  </w:num>
  <w:num w:numId="8">
    <w:abstractNumId w:val="8"/>
  </w:num>
  <w:num w:numId="9">
    <w:abstractNumId w:val="11"/>
  </w:num>
  <w:num w:numId="10">
    <w:abstractNumId w:val="1"/>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C28"/>
    <w:rsid w:val="000527BE"/>
    <w:rsid w:val="00073F0D"/>
    <w:rsid w:val="0009096C"/>
    <w:rsid w:val="000951B4"/>
    <w:rsid w:val="000A77B5"/>
    <w:rsid w:val="000A7B66"/>
    <w:rsid w:val="000B7751"/>
    <w:rsid w:val="000D2E94"/>
    <w:rsid w:val="000F41EA"/>
    <w:rsid w:val="000F606B"/>
    <w:rsid w:val="000F6CBB"/>
    <w:rsid w:val="00105464"/>
    <w:rsid w:val="00122625"/>
    <w:rsid w:val="00131770"/>
    <w:rsid w:val="00171997"/>
    <w:rsid w:val="00184DBC"/>
    <w:rsid w:val="00195192"/>
    <w:rsid w:val="001A103E"/>
    <w:rsid w:val="001C6398"/>
    <w:rsid w:val="001D3F34"/>
    <w:rsid w:val="002036ED"/>
    <w:rsid w:val="00225026"/>
    <w:rsid w:val="00227E7B"/>
    <w:rsid w:val="002620E9"/>
    <w:rsid w:val="00265347"/>
    <w:rsid w:val="00281310"/>
    <w:rsid w:val="00283063"/>
    <w:rsid w:val="002C1F75"/>
    <w:rsid w:val="002E3C54"/>
    <w:rsid w:val="00315113"/>
    <w:rsid w:val="003253A1"/>
    <w:rsid w:val="00367E00"/>
    <w:rsid w:val="003705BB"/>
    <w:rsid w:val="003747A5"/>
    <w:rsid w:val="003A700A"/>
    <w:rsid w:val="003D7B9E"/>
    <w:rsid w:val="004427C0"/>
    <w:rsid w:val="0046491C"/>
    <w:rsid w:val="00466AD0"/>
    <w:rsid w:val="00476367"/>
    <w:rsid w:val="004A6C66"/>
    <w:rsid w:val="004B0CAB"/>
    <w:rsid w:val="004E0530"/>
    <w:rsid w:val="004E38BF"/>
    <w:rsid w:val="00523DD8"/>
    <w:rsid w:val="00557EA5"/>
    <w:rsid w:val="005A3267"/>
    <w:rsid w:val="00607F50"/>
    <w:rsid w:val="00634736"/>
    <w:rsid w:val="00645178"/>
    <w:rsid w:val="00655CF9"/>
    <w:rsid w:val="006728FD"/>
    <w:rsid w:val="006E3748"/>
    <w:rsid w:val="006F7525"/>
    <w:rsid w:val="00712B28"/>
    <w:rsid w:val="00717C0D"/>
    <w:rsid w:val="0072136B"/>
    <w:rsid w:val="0076493C"/>
    <w:rsid w:val="00770016"/>
    <w:rsid w:val="00790E37"/>
    <w:rsid w:val="007C0205"/>
    <w:rsid w:val="007E1651"/>
    <w:rsid w:val="007E1FDC"/>
    <w:rsid w:val="00814E97"/>
    <w:rsid w:val="0083133E"/>
    <w:rsid w:val="008361CA"/>
    <w:rsid w:val="00850252"/>
    <w:rsid w:val="00856FA1"/>
    <w:rsid w:val="00880003"/>
    <w:rsid w:val="008822B3"/>
    <w:rsid w:val="008B03B6"/>
    <w:rsid w:val="008F3E81"/>
    <w:rsid w:val="00900E75"/>
    <w:rsid w:val="00902248"/>
    <w:rsid w:val="00904426"/>
    <w:rsid w:val="00937D7D"/>
    <w:rsid w:val="00975C25"/>
    <w:rsid w:val="009844AE"/>
    <w:rsid w:val="009A5A6A"/>
    <w:rsid w:val="009C04C7"/>
    <w:rsid w:val="009D0B01"/>
    <w:rsid w:val="009E3B0A"/>
    <w:rsid w:val="00A63717"/>
    <w:rsid w:val="00AA49F3"/>
    <w:rsid w:val="00AB023D"/>
    <w:rsid w:val="00AC381E"/>
    <w:rsid w:val="00B120CA"/>
    <w:rsid w:val="00B71899"/>
    <w:rsid w:val="00B74478"/>
    <w:rsid w:val="00B84DE5"/>
    <w:rsid w:val="00BC7B0C"/>
    <w:rsid w:val="00BD299A"/>
    <w:rsid w:val="00C46591"/>
    <w:rsid w:val="00C65A9A"/>
    <w:rsid w:val="00C66FAF"/>
    <w:rsid w:val="00CA5059"/>
    <w:rsid w:val="00CC2CF3"/>
    <w:rsid w:val="00CE0823"/>
    <w:rsid w:val="00CE4239"/>
    <w:rsid w:val="00CE7631"/>
    <w:rsid w:val="00CF70BA"/>
    <w:rsid w:val="00D33AF9"/>
    <w:rsid w:val="00D363F7"/>
    <w:rsid w:val="00D47AF9"/>
    <w:rsid w:val="00D71594"/>
    <w:rsid w:val="00D72985"/>
    <w:rsid w:val="00D7508B"/>
    <w:rsid w:val="00D849AA"/>
    <w:rsid w:val="00DA1CC8"/>
    <w:rsid w:val="00DB084B"/>
    <w:rsid w:val="00DB58A0"/>
    <w:rsid w:val="00DF6F7E"/>
    <w:rsid w:val="00DF7230"/>
    <w:rsid w:val="00E13FD8"/>
    <w:rsid w:val="00E23FDF"/>
    <w:rsid w:val="00E31C26"/>
    <w:rsid w:val="00E61AB8"/>
    <w:rsid w:val="00E706DA"/>
    <w:rsid w:val="00E71F88"/>
    <w:rsid w:val="00E83E93"/>
    <w:rsid w:val="00E922BD"/>
    <w:rsid w:val="00E94FBF"/>
    <w:rsid w:val="00EA3894"/>
    <w:rsid w:val="00EC68E3"/>
    <w:rsid w:val="00EF0C2D"/>
    <w:rsid w:val="00F154C8"/>
    <w:rsid w:val="00F42DAD"/>
    <w:rsid w:val="00F46E78"/>
    <w:rsid w:val="00F857BC"/>
    <w:rsid w:val="00F92351"/>
    <w:rsid w:val="00FA523D"/>
    <w:rsid w:val="00FA6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paragraph" w:styleId="TDC2">
    <w:name w:val="toc 2"/>
    <w:basedOn w:val="Normal"/>
    <w:next w:val="Normal"/>
    <w:autoRedefine/>
    <w:uiPriority w:val="39"/>
    <w:unhideWhenUsed/>
    <w:rsid w:val="00557EA5"/>
    <w:pPr>
      <w:spacing w:after="100"/>
      <w:ind w:left="220"/>
    </w:pPr>
  </w:style>
  <w:style w:type="table" w:styleId="Tablaconcuadrcula">
    <w:name w:val="Table Grid"/>
    <w:basedOn w:val="Tablanormal"/>
    <w:uiPriority w:val="39"/>
    <w:rsid w:val="004A6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2712">
      <w:bodyDiv w:val="1"/>
      <w:marLeft w:val="0"/>
      <w:marRight w:val="0"/>
      <w:marTop w:val="0"/>
      <w:marBottom w:val="0"/>
      <w:divBdr>
        <w:top w:val="none" w:sz="0" w:space="0" w:color="auto"/>
        <w:left w:val="none" w:sz="0" w:space="0" w:color="auto"/>
        <w:bottom w:val="none" w:sz="0" w:space="0" w:color="auto"/>
        <w:right w:val="none" w:sz="0" w:space="0" w:color="auto"/>
      </w:divBdr>
    </w:div>
    <w:div w:id="923219809">
      <w:bodyDiv w:val="1"/>
      <w:marLeft w:val="0"/>
      <w:marRight w:val="0"/>
      <w:marTop w:val="0"/>
      <w:marBottom w:val="0"/>
      <w:divBdr>
        <w:top w:val="none" w:sz="0" w:space="0" w:color="auto"/>
        <w:left w:val="none" w:sz="0" w:space="0" w:color="auto"/>
        <w:bottom w:val="none" w:sz="0" w:space="0" w:color="auto"/>
        <w:right w:val="none" w:sz="0" w:space="0" w:color="auto"/>
      </w:divBdr>
    </w:div>
    <w:div w:id="1480415918">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551766776">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079355304">
      <w:bodyDiv w:val="1"/>
      <w:marLeft w:val="0"/>
      <w:marRight w:val="0"/>
      <w:marTop w:val="0"/>
      <w:marBottom w:val="0"/>
      <w:divBdr>
        <w:top w:val="none" w:sz="0" w:space="0" w:color="auto"/>
        <w:left w:val="none" w:sz="0" w:space="0" w:color="auto"/>
        <w:bottom w:val="none" w:sz="0" w:space="0" w:color="auto"/>
        <w:right w:val="none" w:sz="0" w:space="0" w:color="auto"/>
      </w:divBdr>
    </w:div>
    <w:div w:id="21157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4615</Words>
  <Characters>25385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Windows User</cp:lastModifiedBy>
  <cp:revision>2</cp:revision>
  <cp:lastPrinted>2019-01-22T00:44:00Z</cp:lastPrinted>
  <dcterms:created xsi:type="dcterms:W3CDTF">2019-01-22T01:14:00Z</dcterms:created>
  <dcterms:modified xsi:type="dcterms:W3CDTF">2019-01-22T01:14:00Z</dcterms:modified>
</cp:coreProperties>
</file>